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AC928B7">
      <w:pPr>
        <w:pStyle w:val="2"/>
        <w:spacing w:before="0" w:after="0" w:line="576" w:lineRule="auto"/>
        <w:jc w:val="center"/>
        <w:rPr>
          <w:rFonts w:hint="eastAsia" w:ascii="方正小标宋简体" w:hAnsi="方正小标宋简体" w:eastAsia="方正小标宋简体" w:cs="方正小标宋简体"/>
          <w:b w:val="0"/>
          <w:color w:val="auto"/>
          <w:kern w:val="2"/>
          <w:sz w:val="44"/>
          <w:szCs w:val="44"/>
        </w:rPr>
      </w:pPr>
      <w:r>
        <w:rPr>
          <w:rFonts w:hint="eastAsia" w:ascii="方正小标宋简体" w:hAnsi="方正小标宋简体" w:eastAsia="方正小标宋简体" w:cs="方正小标宋简体"/>
          <w:b w:val="0"/>
          <w:color w:val="auto"/>
          <w:kern w:val="2"/>
          <w:sz w:val="44"/>
          <w:szCs w:val="44"/>
        </w:rPr>
        <w:t>福建省肿瘤医院</w:t>
      </w:r>
      <w:r>
        <w:rPr>
          <w:rFonts w:hint="eastAsia" w:ascii="方正小标宋简体" w:hAnsi="方正小标宋简体" w:eastAsia="方正小标宋简体" w:cs="方正小标宋简体"/>
          <w:b w:val="0"/>
          <w:color w:val="auto"/>
          <w:kern w:val="2"/>
          <w:sz w:val="44"/>
          <w:szCs w:val="44"/>
          <w:lang w:val="en-US" w:eastAsia="zh-CN"/>
        </w:rPr>
        <w:t>需求调研</w:t>
      </w:r>
      <w:r>
        <w:rPr>
          <w:rFonts w:hint="eastAsia" w:ascii="方正小标宋简体" w:hAnsi="方正小标宋简体" w:eastAsia="方正小标宋简体" w:cs="方正小标宋简体"/>
          <w:b w:val="0"/>
          <w:color w:val="auto"/>
          <w:kern w:val="2"/>
          <w:sz w:val="44"/>
          <w:szCs w:val="44"/>
        </w:rPr>
        <w:t>公告</w:t>
      </w:r>
    </w:p>
    <w:p w14:paraId="2E7B9B6A">
      <w:pPr>
        <w:shd w:val="clear" w:color="auto" w:fill="FFFFFF"/>
        <w:adjustRightInd w:val="0"/>
        <w:snapToGrid w:val="0"/>
        <w:spacing w:before="156" w:beforeLines="50" w:line="590" w:lineRule="exac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shd w:val="clear" w:color="auto" w:fill="FFFFFF"/>
        </w:rPr>
        <w:t>第一部分 须知前附表</w:t>
      </w:r>
    </w:p>
    <w:tbl>
      <w:tblPr>
        <w:tblStyle w:val="16"/>
        <w:tblpPr w:leftFromText="180" w:rightFromText="180" w:vertAnchor="text" w:horzAnchor="page" w:tblpX="1852" w:tblpY="337"/>
        <w:tblOverlap w:val="never"/>
        <w:tblW w:w="874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Layout w:type="fixed"/>
        <w:tblCellMar>
          <w:top w:w="15" w:type="dxa"/>
          <w:left w:w="15" w:type="dxa"/>
          <w:bottom w:w="15" w:type="dxa"/>
          <w:right w:w="15" w:type="dxa"/>
        </w:tblCellMar>
      </w:tblPr>
      <w:tblGrid>
        <w:gridCol w:w="964"/>
        <w:gridCol w:w="7781"/>
      </w:tblGrid>
      <w:tr w14:paraId="1FE91712">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549" w:hRule="atLeast"/>
        </w:trPr>
        <w:tc>
          <w:tcPr>
            <w:tcW w:w="964" w:type="dxa"/>
            <w:tcBorders>
              <w:top w:val="single" w:color="000000" w:sz="8" w:space="0"/>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705EE59">
            <w:pPr>
              <w:pStyle w:val="14"/>
              <w:widowControl/>
              <w:spacing w:line="360"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序号</w:t>
            </w:r>
          </w:p>
        </w:tc>
        <w:tc>
          <w:tcPr>
            <w:tcW w:w="7781" w:type="dxa"/>
            <w:tcBorders>
              <w:top w:val="single" w:color="000000" w:sz="8" w:space="0"/>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1995B90E">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b/>
                <w:color w:val="000000"/>
                <w:sz w:val="32"/>
                <w:szCs w:val="32"/>
              </w:rPr>
              <w:t>主　　　要　　　 内　　　 容</w:t>
            </w:r>
          </w:p>
        </w:tc>
      </w:tr>
      <w:tr w14:paraId="3B30AD9B">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4C26BDDE">
            <w:pPr>
              <w:spacing w:line="315" w:lineRule="atLeast"/>
              <w:jc w:val="cente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4ECD90">
            <w:pPr>
              <w:numPr>
                <w:ilvl w:val="0"/>
                <w:numId w:val="0"/>
              </w:numPr>
              <w:spacing w:line="315" w:lineRule="atLeas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项目</w:t>
            </w:r>
            <w:r>
              <w:rPr>
                <w:rFonts w:hint="eastAsia" w:ascii="仿宋_GB2312" w:hAnsi="仿宋_GB2312" w:eastAsia="仿宋_GB2312" w:cs="仿宋_GB2312"/>
                <w:color w:val="000000"/>
                <w:sz w:val="32"/>
                <w:szCs w:val="32"/>
                <w:lang w:val="en-US" w:eastAsia="zh-CN"/>
              </w:rPr>
              <w:t>：AI大模型一体机项目需求调研</w:t>
            </w:r>
            <w:r>
              <w:rPr>
                <w:rFonts w:hint="eastAsia" w:ascii="仿宋_GB2312" w:hAnsi="仿宋_GB2312" w:eastAsia="仿宋_GB2312" w:cs="仿宋_GB2312"/>
                <w:color w:val="000000"/>
                <w:sz w:val="32"/>
                <w:szCs w:val="32"/>
              </w:rPr>
              <w:t xml:space="preserve"> </w:t>
            </w:r>
          </w:p>
        </w:tc>
      </w:tr>
      <w:tr w14:paraId="5E1B9B2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444"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5580F829">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2</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4FBD2977">
            <w:pPr>
              <w:spacing w:before="150" w:line="560" w:lineRule="exact"/>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调研报名时间： 2026 年</w:t>
            </w:r>
            <w:r>
              <w:rPr>
                <w:rFonts w:hint="eastAsia" w:ascii="仿宋_GB2312" w:hAnsi="仿宋_GB2312" w:eastAsia="仿宋_GB2312" w:cs="仿宋_GB2312"/>
                <w:color w:val="000000"/>
                <w:sz w:val="32"/>
                <w:szCs w:val="32"/>
                <w:u w:val="single"/>
                <w:lang w:val="en-US" w:eastAsia="zh-CN"/>
              </w:rPr>
              <w:t>11</w:t>
            </w:r>
            <w:r>
              <w:rPr>
                <w:rFonts w:hint="eastAsia" w:ascii="仿宋_GB2312" w:hAnsi="仿宋_GB2312" w:eastAsia="仿宋_GB2312" w:cs="仿宋_GB2312"/>
                <w:color w:val="000000"/>
                <w:sz w:val="32"/>
                <w:szCs w:val="32"/>
              </w:rPr>
              <w:t xml:space="preserve">月 </w:t>
            </w:r>
            <w:r>
              <w:rPr>
                <w:rFonts w:hint="eastAsia" w:ascii="仿宋_GB2312" w:hAnsi="仿宋_GB2312" w:eastAsia="仿宋_GB2312" w:cs="仿宋_GB2312"/>
                <w:color w:val="000000"/>
                <w:sz w:val="32"/>
                <w:szCs w:val="32"/>
                <w:u w:val="single"/>
                <w:lang w:val="en-US" w:eastAsia="zh-CN"/>
              </w:rPr>
              <w:t>2</w:t>
            </w:r>
            <w:r>
              <w:rPr>
                <w:rFonts w:hint="eastAsia" w:ascii="仿宋_GB2312" w:hAnsi="仿宋_GB2312" w:eastAsia="仿宋_GB2312" w:cs="仿宋_GB2312"/>
                <w:color w:val="000000"/>
                <w:sz w:val="32"/>
                <w:szCs w:val="32"/>
              </w:rPr>
              <w:t xml:space="preserve">日至 </w:t>
            </w:r>
            <w:r>
              <w:rPr>
                <w:rFonts w:hint="eastAsia" w:ascii="仿宋_GB2312" w:hAnsi="仿宋_GB2312" w:eastAsia="仿宋_GB2312" w:cs="仿宋_GB2312"/>
                <w:color w:val="000000"/>
                <w:sz w:val="32"/>
                <w:szCs w:val="32"/>
                <w:u w:val="single"/>
                <w:lang w:val="en-US" w:eastAsia="zh-CN"/>
              </w:rPr>
              <w:t>11</w:t>
            </w:r>
            <w:r>
              <w:rPr>
                <w:rFonts w:hint="eastAsia" w:ascii="仿宋_GB2312" w:hAnsi="仿宋_GB2312" w:eastAsia="仿宋_GB2312" w:cs="仿宋_GB2312"/>
                <w:color w:val="000000"/>
                <w:sz w:val="32"/>
                <w:szCs w:val="32"/>
              </w:rPr>
              <w:t>月</w:t>
            </w:r>
            <w:r>
              <w:rPr>
                <w:rFonts w:hint="eastAsia" w:ascii="仿宋_GB2312" w:hAnsi="仿宋_GB2312" w:eastAsia="仿宋_GB2312" w:cs="仿宋_GB2312"/>
                <w:color w:val="000000"/>
                <w:sz w:val="32"/>
                <w:szCs w:val="32"/>
                <w:u w:val="single"/>
                <w:lang w:val="en-US" w:eastAsia="zh-CN"/>
              </w:rPr>
              <w:t>6</w:t>
            </w:r>
            <w:r>
              <w:rPr>
                <w:rFonts w:hint="eastAsia" w:ascii="仿宋_GB2312" w:hAnsi="仿宋_GB2312" w:eastAsia="仿宋_GB2312" w:cs="仿宋_GB2312"/>
                <w:color w:val="000000"/>
                <w:sz w:val="32"/>
                <w:szCs w:val="32"/>
              </w:rPr>
              <w:t xml:space="preserve">日 </w:t>
            </w:r>
            <w:r>
              <w:rPr>
                <w:rFonts w:hint="eastAsia" w:ascii="仿宋_GB2312" w:hAnsi="仿宋_GB2312" w:eastAsia="仿宋_GB2312" w:cs="仿宋_GB2312"/>
                <w:color w:val="000000"/>
                <w:spacing w:val="-8"/>
                <w:sz w:val="32"/>
                <w:szCs w:val="32"/>
                <w:shd w:val="clear" w:color="auto" w:fill="FFFFFF"/>
              </w:rPr>
              <w:t>(节假日除外)8：00-12：00或14：</w:t>
            </w:r>
            <w:r>
              <w:rPr>
                <w:rFonts w:hint="eastAsia" w:ascii="仿宋_GB2312" w:hAnsi="仿宋_GB2312" w:eastAsia="仿宋_GB2312" w:cs="仿宋_GB2312"/>
                <w:color w:val="000000"/>
                <w:spacing w:val="-8"/>
                <w:sz w:val="32"/>
                <w:szCs w:val="32"/>
                <w:shd w:val="clear" w:color="auto" w:fill="FFFFFF"/>
                <w:lang w:val="en-US" w:eastAsia="zh-CN"/>
              </w:rPr>
              <w:t>3</w:t>
            </w:r>
            <w:r>
              <w:rPr>
                <w:rFonts w:hint="eastAsia" w:ascii="仿宋_GB2312" w:hAnsi="仿宋_GB2312" w:eastAsia="仿宋_GB2312" w:cs="仿宋_GB2312"/>
                <w:color w:val="000000"/>
                <w:spacing w:val="-8"/>
                <w:sz w:val="32"/>
                <w:szCs w:val="32"/>
                <w:shd w:val="clear" w:color="auto" w:fill="FFFFFF"/>
              </w:rPr>
              <w:t>0-17：</w:t>
            </w:r>
            <w:r>
              <w:rPr>
                <w:rFonts w:hint="eastAsia" w:ascii="仿宋_GB2312" w:hAnsi="仿宋_GB2312" w:eastAsia="仿宋_GB2312" w:cs="仿宋_GB2312"/>
                <w:color w:val="000000"/>
                <w:spacing w:val="-8"/>
                <w:sz w:val="32"/>
                <w:szCs w:val="32"/>
                <w:shd w:val="clear" w:color="auto" w:fill="FFFFFF"/>
                <w:lang w:val="en-US" w:eastAsia="zh-CN"/>
              </w:rPr>
              <w:t>0</w:t>
            </w:r>
            <w:r>
              <w:rPr>
                <w:rFonts w:hint="eastAsia" w:ascii="仿宋_GB2312" w:hAnsi="仿宋_GB2312" w:eastAsia="仿宋_GB2312" w:cs="仿宋_GB2312"/>
                <w:color w:val="000000"/>
                <w:spacing w:val="-8"/>
                <w:sz w:val="32"/>
                <w:szCs w:val="32"/>
                <w:shd w:val="clear" w:color="auto" w:fill="FFFFFF"/>
              </w:rPr>
              <w:t>0(北京时间）</w:t>
            </w:r>
          </w:p>
          <w:p w14:paraId="26EC9BA4">
            <w:pPr>
              <w:spacing w:line="315" w:lineRule="atLeast"/>
              <w:rPr>
                <w:rFonts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rPr>
              <w:t>调研会时间： 2026 年</w:t>
            </w:r>
            <w:r>
              <w:rPr>
                <w:rFonts w:hint="eastAsia" w:ascii="仿宋_GB2312" w:hAnsi="仿宋_GB2312" w:eastAsia="仿宋_GB2312" w:cs="仿宋_GB2312"/>
                <w:color w:val="000000"/>
                <w:sz w:val="32"/>
                <w:szCs w:val="32"/>
                <w:u w:val="single"/>
                <w:lang w:val="en-US" w:eastAsia="zh-CN"/>
              </w:rPr>
              <w:t>11</w:t>
            </w:r>
            <w:r>
              <w:rPr>
                <w:rFonts w:hint="eastAsia" w:ascii="仿宋_GB2312" w:hAnsi="仿宋_GB2312" w:eastAsia="仿宋_GB2312" w:cs="仿宋_GB2312"/>
                <w:color w:val="000000"/>
                <w:sz w:val="32"/>
                <w:szCs w:val="32"/>
              </w:rPr>
              <w:t xml:space="preserve">月 </w:t>
            </w:r>
            <w:r>
              <w:rPr>
                <w:rFonts w:hint="eastAsia" w:ascii="仿宋_GB2312" w:hAnsi="仿宋_GB2312" w:eastAsia="仿宋_GB2312" w:cs="仿宋_GB2312"/>
                <w:color w:val="000000"/>
                <w:sz w:val="32"/>
                <w:szCs w:val="32"/>
                <w:u w:val="single"/>
                <w:lang w:val="en-US" w:eastAsia="zh-CN"/>
              </w:rPr>
              <w:t>10</w:t>
            </w:r>
            <w:r>
              <w:rPr>
                <w:rFonts w:hint="eastAsia" w:ascii="仿宋_GB2312" w:hAnsi="仿宋_GB2312" w:eastAsia="仿宋_GB2312" w:cs="仿宋_GB2312"/>
                <w:color w:val="000000"/>
                <w:sz w:val="32"/>
                <w:szCs w:val="32"/>
              </w:rPr>
              <w:t xml:space="preserve">日 </w:t>
            </w:r>
            <w:r>
              <w:rPr>
                <w:rFonts w:hint="eastAsia" w:ascii="仿宋_GB2312" w:hAnsi="仿宋_GB2312" w:eastAsia="仿宋_GB2312" w:cs="仿宋_GB2312"/>
                <w:color w:val="000000"/>
                <w:sz w:val="32"/>
                <w:szCs w:val="32"/>
                <w:lang w:val="en-US" w:eastAsia="zh-CN"/>
              </w:rPr>
              <w:t>9</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0</w:t>
            </w:r>
          </w:p>
        </w:tc>
      </w:tr>
      <w:tr w14:paraId="6FC167A9">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85"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41BDFF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3</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F149515">
            <w:pPr>
              <w:spacing w:line="315" w:lineRule="atLeas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有意向参与的按照附件操作要求进行</w:t>
            </w:r>
            <w:r>
              <w:rPr>
                <w:rFonts w:hint="eastAsia" w:ascii="仿宋_GB2312" w:hAnsi="仿宋_GB2312" w:eastAsia="仿宋_GB2312" w:cs="仿宋_GB2312"/>
                <w:b/>
                <w:bCs/>
                <w:color w:val="000000"/>
                <w:sz w:val="32"/>
                <w:szCs w:val="32"/>
              </w:rPr>
              <w:t>线上报名</w:t>
            </w:r>
          </w:p>
          <w:p w14:paraId="1C6BD46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lang w:eastAsia="zh-CN"/>
              </w:rPr>
              <w:t>调研会当天携带</w:t>
            </w:r>
            <w:r>
              <w:rPr>
                <w:rFonts w:hint="eastAsia" w:ascii="仿宋_GB2312" w:hAnsi="仿宋_GB2312" w:eastAsia="仿宋_GB2312" w:cs="仿宋_GB2312"/>
                <w:color w:val="000000"/>
                <w:sz w:val="32"/>
                <w:szCs w:val="32"/>
              </w:rPr>
              <w:t>文件正本</w:t>
            </w:r>
            <w:r>
              <w:rPr>
                <w:rFonts w:hint="eastAsia" w:ascii="仿宋_GB2312" w:hAnsi="仿宋_GB2312" w:eastAsia="仿宋_GB2312" w:cs="仿宋_GB2312"/>
                <w:bCs/>
                <w:color w:val="000000"/>
                <w:sz w:val="32"/>
                <w:szCs w:val="32"/>
                <w:u w:val="single"/>
              </w:rPr>
              <w:t>壹</w:t>
            </w:r>
            <w:r>
              <w:rPr>
                <w:rFonts w:hint="eastAsia" w:ascii="仿宋_GB2312" w:hAnsi="仿宋_GB2312" w:eastAsia="仿宋_GB2312" w:cs="仿宋_GB2312"/>
                <w:color w:val="000000"/>
                <w:sz w:val="32"/>
                <w:szCs w:val="32"/>
              </w:rPr>
              <w:t>份,副本</w:t>
            </w:r>
            <w:r>
              <w:rPr>
                <w:rFonts w:hint="eastAsia" w:ascii="仿宋_GB2312" w:hAnsi="仿宋_GB2312" w:eastAsia="仿宋_GB2312" w:cs="仿宋_GB2312"/>
                <w:color w:val="000000"/>
                <w:sz w:val="32"/>
                <w:szCs w:val="32"/>
                <w:u w:val="single"/>
                <w:lang w:val="en-US" w:eastAsia="zh-CN"/>
              </w:rPr>
              <w:t>叁</w:t>
            </w:r>
            <w:r>
              <w:rPr>
                <w:rFonts w:hint="eastAsia" w:ascii="仿宋_GB2312" w:hAnsi="仿宋_GB2312" w:eastAsia="仿宋_GB2312" w:cs="仿宋_GB2312"/>
                <w:color w:val="000000"/>
                <w:sz w:val="32"/>
                <w:szCs w:val="32"/>
              </w:rPr>
              <w:t>份胶装并密封加盖投标人公章。文件未胶装将视为无效。</w:t>
            </w:r>
          </w:p>
        </w:tc>
      </w:tr>
      <w:tr w14:paraId="153BF9FD">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69B2A738">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4</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05C5E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文件递交处：福建省肿瘤医院网络技术中心</w:t>
            </w:r>
          </w:p>
        </w:tc>
      </w:tr>
      <w:tr w14:paraId="2ACC1136">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631"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38F22737">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5</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3CD74DAF">
            <w:pPr>
              <w:spacing w:line="315" w:lineRule="atLeast"/>
              <w:rPr>
                <w:rFonts w:ascii="仿宋_GB2312" w:hAnsi="仿宋_GB2312" w:eastAsia="仿宋_GB2312" w:cs="仿宋_GB2312"/>
                <w:sz w:val="32"/>
                <w:szCs w:val="32"/>
              </w:rPr>
            </w:pPr>
            <w:r>
              <w:rPr>
                <w:rFonts w:hint="eastAsia" w:ascii="仿宋_GB2312" w:hAnsi="仿宋_GB2312" w:eastAsia="仿宋_GB2312" w:cs="仿宋_GB2312"/>
                <w:color w:val="000000"/>
                <w:sz w:val="32"/>
                <w:szCs w:val="32"/>
              </w:rPr>
              <w:t>上述时间、地点如有变动，以单位届时通知为准。</w:t>
            </w:r>
          </w:p>
        </w:tc>
      </w:tr>
      <w:tr w14:paraId="1C4E56BA">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15" w:type="dxa"/>
            <w:left w:w="15" w:type="dxa"/>
            <w:bottom w:w="15" w:type="dxa"/>
            <w:right w:w="15" w:type="dxa"/>
          </w:tblCellMar>
        </w:tblPrEx>
        <w:trPr>
          <w:trHeight w:val="1090" w:hRule="atLeast"/>
        </w:trPr>
        <w:tc>
          <w:tcPr>
            <w:tcW w:w="964" w:type="dxa"/>
            <w:tcBorders>
              <w:top w:val="nil"/>
              <w:left w:val="single" w:color="000000" w:sz="8" w:space="0"/>
              <w:bottom w:val="single" w:color="000000" w:sz="8" w:space="0"/>
              <w:right w:val="single" w:color="000000" w:sz="8" w:space="0"/>
            </w:tcBorders>
            <w:shd w:val="clear" w:color="auto" w:fill="FFFFFF"/>
            <w:tcMar>
              <w:top w:w="0" w:type="dxa"/>
              <w:left w:w="108" w:type="dxa"/>
              <w:bottom w:w="0" w:type="dxa"/>
              <w:right w:w="108" w:type="dxa"/>
            </w:tcMar>
            <w:vAlign w:val="center"/>
          </w:tcPr>
          <w:p w14:paraId="71BD07E6">
            <w:pPr>
              <w:spacing w:line="315" w:lineRule="atLeas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6</w:t>
            </w:r>
          </w:p>
        </w:tc>
        <w:tc>
          <w:tcPr>
            <w:tcW w:w="7781" w:type="dxa"/>
            <w:tcBorders>
              <w:top w:val="nil"/>
              <w:left w:val="nil"/>
              <w:bottom w:val="single" w:color="000000" w:sz="8" w:space="0"/>
              <w:right w:val="single" w:color="000000" w:sz="8" w:space="0"/>
            </w:tcBorders>
            <w:shd w:val="clear" w:color="auto" w:fill="FFFFFF"/>
            <w:tcMar>
              <w:top w:w="0" w:type="dxa"/>
              <w:left w:w="108" w:type="dxa"/>
              <w:bottom w:w="0" w:type="dxa"/>
              <w:right w:w="108" w:type="dxa"/>
            </w:tcMar>
            <w:vAlign w:val="center"/>
          </w:tcPr>
          <w:p w14:paraId="7BE50719">
            <w:pPr>
              <w:shd w:val="clear" w:color="auto" w:fill="FFFFFF"/>
              <w:adjustRightInd w:val="0"/>
              <w:snapToGrid w:val="0"/>
              <w:rPr>
                <w:rFonts w:ascii="仿宋_GB2312" w:hAnsi="仿宋_GB2312" w:eastAsia="仿宋_GB2312" w:cs="仿宋_GB2312"/>
                <w:sz w:val="32"/>
                <w:szCs w:val="32"/>
              </w:rPr>
            </w:pPr>
            <w:r>
              <w:rPr>
                <w:rFonts w:hint="eastAsia" w:ascii="仿宋_GB2312" w:hAnsi="仿宋_GB2312" w:eastAsia="仿宋_GB2312" w:cs="仿宋_GB2312"/>
                <w:bCs/>
                <w:color w:val="000000"/>
                <w:sz w:val="32"/>
                <w:szCs w:val="32"/>
                <w:shd w:val="clear" w:color="auto" w:fill="FFFFFF"/>
              </w:rPr>
              <w:t>采购报名、</w:t>
            </w:r>
            <w:r>
              <w:rPr>
                <w:rFonts w:hint="eastAsia" w:ascii="仿宋_GB2312" w:hAnsi="仿宋_GB2312" w:eastAsia="仿宋_GB2312" w:cs="仿宋_GB2312"/>
                <w:bCs/>
                <w:color w:val="000000"/>
                <w:sz w:val="32"/>
                <w:szCs w:val="32"/>
                <w:shd w:val="clear" w:color="auto" w:fill="FFFFFF"/>
                <w:lang w:eastAsia="zh-CN"/>
              </w:rPr>
              <w:t>需求调研</w:t>
            </w:r>
            <w:r>
              <w:rPr>
                <w:rFonts w:hint="eastAsia" w:ascii="仿宋_GB2312" w:hAnsi="仿宋_GB2312" w:eastAsia="仿宋_GB2312" w:cs="仿宋_GB2312"/>
                <w:bCs/>
                <w:color w:val="000000"/>
                <w:sz w:val="32"/>
                <w:szCs w:val="32"/>
                <w:shd w:val="clear" w:color="auto" w:fill="FFFFFF"/>
              </w:rPr>
              <w:t>等采购过程中有任何异议，可联系我院监督科室。电话：83660063-8407；83660063-8467。</w:t>
            </w:r>
          </w:p>
        </w:tc>
      </w:tr>
    </w:tbl>
    <w:p w14:paraId="37474EE9">
      <w:pPr>
        <w:shd w:val="clear" w:color="auto" w:fill="FFFFFF"/>
        <w:spacing w:line="336" w:lineRule="auto"/>
        <w:rPr>
          <w:rFonts w:ascii="仿宋_GB2312" w:hAnsi="仿宋_GB2312" w:eastAsia="仿宋_GB2312" w:cs="仿宋_GB2312"/>
          <w:bCs/>
          <w:color w:val="000000"/>
          <w:sz w:val="32"/>
          <w:szCs w:val="32"/>
          <w:shd w:val="clear" w:color="auto" w:fill="FFFFFF"/>
        </w:rPr>
      </w:pPr>
      <w:r>
        <w:rPr>
          <w:rFonts w:hint="eastAsia" w:ascii="仿宋_GB2312" w:hAnsi="仿宋_GB2312" w:eastAsia="仿宋_GB2312" w:cs="仿宋_GB2312"/>
          <w:bCs/>
          <w:color w:val="000000"/>
          <w:sz w:val="32"/>
          <w:szCs w:val="32"/>
          <w:shd w:val="clear" w:color="auto" w:fill="FFFFFF"/>
        </w:rPr>
        <w:t xml:space="preserve">地　址： 福建省福州市福马路420号 </w:t>
      </w:r>
    </w:p>
    <w:p w14:paraId="45AB2293">
      <w:pPr>
        <w:shd w:val="clear" w:color="auto" w:fill="FFFFFF"/>
        <w:spacing w:line="336" w:lineRule="auto"/>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福建省肿瘤医院肿瘤防治综合大楼三楼网络技术中心会议室</w:t>
      </w:r>
    </w:p>
    <w:p w14:paraId="515A4AC0">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邮　编： 350014　 </w:t>
      </w:r>
    </w:p>
    <w:p w14:paraId="0FF2906E">
      <w:pPr>
        <w:shd w:val="clear" w:color="auto" w:fill="FFFFFF"/>
        <w:spacing w:line="440" w:lineRule="atLeast"/>
        <w:rPr>
          <w:rFonts w:ascii="仿宋_GB2312" w:hAnsi="仿宋_GB2312" w:eastAsia="仿宋_GB2312" w:cs="仿宋_GB2312"/>
          <w:bCs/>
          <w:sz w:val="32"/>
          <w:szCs w:val="32"/>
        </w:rPr>
      </w:pPr>
      <w:r>
        <w:rPr>
          <w:rFonts w:hint="eastAsia" w:ascii="仿宋_GB2312" w:hAnsi="仿宋_GB2312" w:eastAsia="仿宋_GB2312" w:cs="仿宋_GB2312"/>
          <w:bCs/>
          <w:color w:val="000000"/>
          <w:sz w:val="32"/>
          <w:szCs w:val="32"/>
          <w:shd w:val="clear" w:color="auto" w:fill="FFFFFF"/>
        </w:rPr>
        <w:t>报名联系电话：</w:t>
      </w:r>
      <w:r>
        <w:rPr>
          <w:rFonts w:hint="eastAsia" w:ascii="仿宋_GB2312" w:hAnsi="仿宋_GB2312" w:eastAsia="仿宋_GB2312" w:cs="仿宋_GB2312"/>
          <w:bCs/>
          <w:color w:val="000000"/>
          <w:sz w:val="28"/>
          <w:szCs w:val="28"/>
          <w:shd w:val="clear" w:color="auto" w:fill="FFFFFF"/>
        </w:rPr>
        <w:t xml:space="preserve">0591-62002097、83660063-8822、83660063-8279 </w:t>
      </w:r>
    </w:p>
    <w:p w14:paraId="7BDAB4B6">
      <w:pPr>
        <w:shd w:val="clear" w:color="auto" w:fill="FFFFFF"/>
        <w:spacing w:line="440" w:lineRule="atLeast"/>
        <w:rPr>
          <w:rFonts w:hint="eastAsia" w:ascii="仿宋_GB2312" w:hAnsi="仿宋_GB2312" w:eastAsia="仿宋_GB2312" w:cs="仿宋_GB2312"/>
          <w:bCs/>
          <w:color w:val="000000"/>
          <w:sz w:val="32"/>
          <w:szCs w:val="32"/>
          <w:shd w:val="clear" w:color="auto" w:fill="FFFFFF"/>
          <w:lang w:val="en-US" w:eastAsia="zh-CN"/>
        </w:rPr>
      </w:pPr>
      <w:r>
        <w:rPr>
          <w:rFonts w:hint="eastAsia" w:ascii="仿宋_GB2312" w:hAnsi="仿宋_GB2312" w:eastAsia="仿宋_GB2312" w:cs="仿宋_GB2312"/>
          <w:bCs/>
          <w:color w:val="000000"/>
          <w:sz w:val="32"/>
          <w:szCs w:val="32"/>
          <w:shd w:val="clear" w:color="auto" w:fill="FFFFFF"/>
        </w:rPr>
        <w:t xml:space="preserve">联系人： </w:t>
      </w:r>
      <w:r>
        <w:rPr>
          <w:rFonts w:hint="eastAsia" w:ascii="仿宋_GB2312" w:hAnsi="仿宋_GB2312" w:eastAsia="仿宋_GB2312" w:cs="仿宋_GB2312"/>
          <w:bCs/>
          <w:color w:val="000000"/>
          <w:sz w:val="32"/>
          <w:szCs w:val="32"/>
          <w:shd w:val="clear" w:color="auto" w:fill="FFFFFF"/>
          <w:lang w:val="en-US" w:eastAsia="zh-CN"/>
        </w:rPr>
        <w:t>杜工、郑工</w:t>
      </w:r>
    </w:p>
    <w:p w14:paraId="27DBD21D">
      <w:pPr>
        <w:shd w:val="clear" w:color="auto" w:fill="FFFFFF"/>
        <w:adjustRightInd w:val="0"/>
        <w:snapToGrid w:val="0"/>
        <w:spacing w:before="156" w:beforeLines="50" w:line="590" w:lineRule="exact"/>
        <w:jc w:val="center"/>
      </w:pPr>
      <w:r>
        <w:rPr>
          <w:rFonts w:hint="eastAsia" w:ascii="仿宋_GB2312" w:hAnsi="仿宋_GB2312" w:eastAsia="仿宋_GB2312" w:cs="仿宋_GB2312"/>
          <w:b/>
          <w:color w:val="000000"/>
          <w:sz w:val="32"/>
          <w:szCs w:val="32"/>
          <w:shd w:val="clear" w:color="auto" w:fill="FFFFFF"/>
        </w:rPr>
        <w:t>第二部分 具体要求</w:t>
      </w:r>
    </w:p>
    <w:p w14:paraId="03DEC564">
      <w:pPr>
        <w:numPr>
          <w:ilvl w:val="0"/>
          <w:numId w:val="1"/>
        </w:numPr>
        <w:spacing w:line="360" w:lineRule="auto"/>
        <w:rPr>
          <w:rFonts w:hint="eastAsia"/>
          <w:b/>
          <w:bCs/>
          <w:sz w:val="28"/>
          <w:szCs w:val="28"/>
        </w:rPr>
      </w:pPr>
      <w:r>
        <w:rPr>
          <w:rFonts w:hint="eastAsia"/>
          <w:b/>
          <w:bCs/>
          <w:sz w:val="28"/>
          <w:szCs w:val="28"/>
        </w:rPr>
        <w:t>采购内容</w:t>
      </w:r>
    </w:p>
    <w:tbl>
      <w:tblPr>
        <w:tblStyle w:val="16"/>
        <w:tblW w:w="511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2"/>
        <w:gridCol w:w="874"/>
        <w:gridCol w:w="3943"/>
        <w:gridCol w:w="1062"/>
        <w:gridCol w:w="1425"/>
      </w:tblGrid>
      <w:tr w14:paraId="6A03B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Height w:val="454" w:hRule="atLeast"/>
        </w:trPr>
        <w:tc>
          <w:tcPr>
            <w:tcW w:w="810" w:type="pct"/>
            <w:tcBorders>
              <w:top w:val="single" w:color="auto" w:sz="4" w:space="0"/>
              <w:left w:val="single" w:color="auto" w:sz="4" w:space="0"/>
              <w:bottom w:val="single" w:color="auto" w:sz="4" w:space="0"/>
              <w:right w:val="single" w:color="auto" w:sz="4" w:space="0"/>
            </w:tcBorders>
            <w:vAlign w:val="center"/>
          </w:tcPr>
          <w:p w14:paraId="08785388">
            <w:pPr>
              <w:spacing w:line="360" w:lineRule="auto"/>
              <w:jc w:val="center"/>
              <w:rPr>
                <w:rFonts w:hint="eastAsia"/>
                <w:sz w:val="28"/>
                <w:szCs w:val="28"/>
              </w:rPr>
            </w:pPr>
            <w:r>
              <w:rPr>
                <w:rFonts w:hint="eastAsia"/>
                <w:sz w:val="28"/>
                <w:szCs w:val="28"/>
              </w:rPr>
              <w:t>合同包名</w:t>
            </w:r>
          </w:p>
        </w:tc>
        <w:tc>
          <w:tcPr>
            <w:tcW w:w="501" w:type="pct"/>
            <w:tcBorders>
              <w:top w:val="single" w:color="auto" w:sz="4" w:space="0"/>
              <w:left w:val="single" w:color="auto" w:sz="4" w:space="0"/>
              <w:bottom w:val="single" w:color="auto" w:sz="4" w:space="0"/>
              <w:right w:val="single" w:color="auto" w:sz="4" w:space="0"/>
            </w:tcBorders>
            <w:vAlign w:val="center"/>
          </w:tcPr>
          <w:p w14:paraId="2A205916">
            <w:pPr>
              <w:spacing w:line="360" w:lineRule="auto"/>
              <w:jc w:val="center"/>
              <w:rPr>
                <w:rFonts w:hint="eastAsia"/>
                <w:sz w:val="28"/>
                <w:szCs w:val="28"/>
              </w:rPr>
            </w:pPr>
            <w:r>
              <w:rPr>
                <w:rFonts w:hint="eastAsia"/>
                <w:sz w:val="28"/>
                <w:szCs w:val="28"/>
              </w:rPr>
              <w:t>序号</w:t>
            </w:r>
          </w:p>
        </w:tc>
        <w:tc>
          <w:tcPr>
            <w:tcW w:w="2261" w:type="pct"/>
            <w:tcBorders>
              <w:top w:val="single" w:color="auto" w:sz="4" w:space="0"/>
              <w:left w:val="single" w:color="auto" w:sz="4" w:space="0"/>
              <w:bottom w:val="single" w:color="auto" w:sz="4" w:space="0"/>
              <w:right w:val="single" w:color="auto" w:sz="4" w:space="0"/>
            </w:tcBorders>
            <w:vAlign w:val="center"/>
          </w:tcPr>
          <w:p w14:paraId="624AE7FD">
            <w:pPr>
              <w:spacing w:line="360" w:lineRule="auto"/>
              <w:jc w:val="center"/>
              <w:rPr>
                <w:rFonts w:hint="eastAsia"/>
                <w:sz w:val="28"/>
                <w:szCs w:val="28"/>
              </w:rPr>
            </w:pPr>
            <w:r>
              <w:rPr>
                <w:rFonts w:hint="eastAsia"/>
                <w:sz w:val="28"/>
                <w:szCs w:val="28"/>
              </w:rPr>
              <w:t>功能</w:t>
            </w:r>
          </w:p>
        </w:tc>
        <w:tc>
          <w:tcPr>
            <w:tcW w:w="609" w:type="pct"/>
            <w:tcBorders>
              <w:top w:val="single" w:color="auto" w:sz="4" w:space="0"/>
              <w:left w:val="single" w:color="auto" w:sz="4" w:space="0"/>
              <w:bottom w:val="single" w:color="auto" w:sz="4" w:space="0"/>
              <w:right w:val="single" w:color="auto" w:sz="4" w:space="0"/>
            </w:tcBorders>
            <w:vAlign w:val="center"/>
          </w:tcPr>
          <w:p w14:paraId="0AF399F3">
            <w:pPr>
              <w:spacing w:line="360" w:lineRule="auto"/>
              <w:jc w:val="center"/>
              <w:rPr>
                <w:rFonts w:hint="eastAsia"/>
                <w:sz w:val="28"/>
                <w:szCs w:val="28"/>
              </w:rPr>
            </w:pPr>
            <w:r>
              <w:rPr>
                <w:rFonts w:hint="eastAsia"/>
                <w:sz w:val="28"/>
                <w:szCs w:val="28"/>
              </w:rPr>
              <w:t>数量</w:t>
            </w:r>
          </w:p>
        </w:tc>
        <w:tc>
          <w:tcPr>
            <w:tcW w:w="817" w:type="pct"/>
            <w:tcBorders>
              <w:top w:val="single" w:color="auto" w:sz="4" w:space="0"/>
              <w:left w:val="single" w:color="auto" w:sz="4" w:space="0"/>
              <w:bottom w:val="single" w:color="auto" w:sz="4" w:space="0"/>
              <w:right w:val="single" w:color="auto" w:sz="4" w:space="0"/>
            </w:tcBorders>
            <w:vAlign w:val="center"/>
          </w:tcPr>
          <w:p w14:paraId="413ACFD6">
            <w:pPr>
              <w:spacing w:line="360" w:lineRule="auto"/>
              <w:jc w:val="center"/>
              <w:rPr>
                <w:rFonts w:hint="eastAsia"/>
                <w:sz w:val="28"/>
                <w:szCs w:val="28"/>
              </w:rPr>
            </w:pPr>
            <w:r>
              <w:rPr>
                <w:rFonts w:hint="eastAsia"/>
                <w:sz w:val="28"/>
                <w:szCs w:val="28"/>
              </w:rPr>
              <w:t>预算</w:t>
            </w:r>
          </w:p>
          <w:p w14:paraId="5BD3E32D">
            <w:pPr>
              <w:spacing w:line="360" w:lineRule="auto"/>
              <w:jc w:val="center"/>
              <w:rPr>
                <w:rFonts w:hint="eastAsia"/>
                <w:sz w:val="28"/>
                <w:szCs w:val="28"/>
              </w:rPr>
            </w:pPr>
            <w:r>
              <w:rPr>
                <w:rFonts w:hint="eastAsia"/>
                <w:sz w:val="28"/>
                <w:szCs w:val="28"/>
              </w:rPr>
              <w:t>（万元）</w:t>
            </w:r>
          </w:p>
        </w:tc>
      </w:tr>
      <w:tr w14:paraId="1A0D8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Height w:val="934" w:hRule="atLeast"/>
        </w:trPr>
        <w:tc>
          <w:tcPr>
            <w:tcW w:w="810" w:type="pct"/>
            <w:vMerge w:val="restart"/>
            <w:tcBorders>
              <w:top w:val="single" w:color="auto" w:sz="4" w:space="0"/>
              <w:left w:val="single" w:color="auto" w:sz="4" w:space="0"/>
              <w:right w:val="single" w:color="auto" w:sz="4" w:space="0"/>
            </w:tcBorders>
            <w:vAlign w:val="center"/>
          </w:tcPr>
          <w:p w14:paraId="480D9D39">
            <w:pPr>
              <w:spacing w:line="360" w:lineRule="auto"/>
              <w:jc w:val="center"/>
              <w:rPr>
                <w:rFonts w:hint="eastAsia"/>
                <w:sz w:val="28"/>
                <w:szCs w:val="28"/>
              </w:rPr>
            </w:pPr>
            <w:r>
              <w:rPr>
                <w:rFonts w:hint="eastAsia"/>
                <w:sz w:val="28"/>
                <w:szCs w:val="28"/>
              </w:rPr>
              <w:t>AI大模型一体机</w:t>
            </w:r>
          </w:p>
        </w:tc>
        <w:tc>
          <w:tcPr>
            <w:tcW w:w="501" w:type="pct"/>
            <w:tcBorders>
              <w:top w:val="single" w:color="auto" w:sz="4" w:space="0"/>
              <w:left w:val="single" w:color="auto" w:sz="4" w:space="0"/>
              <w:right w:val="single" w:color="auto" w:sz="4" w:space="0"/>
            </w:tcBorders>
            <w:vAlign w:val="center"/>
          </w:tcPr>
          <w:p w14:paraId="6526FE1A">
            <w:pPr>
              <w:spacing w:line="360" w:lineRule="auto"/>
              <w:jc w:val="center"/>
              <w:rPr>
                <w:rFonts w:hint="eastAsia"/>
                <w:sz w:val="28"/>
                <w:szCs w:val="28"/>
              </w:rPr>
            </w:pPr>
            <w:r>
              <w:rPr>
                <w:rFonts w:hint="eastAsia"/>
                <w:sz w:val="28"/>
                <w:szCs w:val="28"/>
              </w:rPr>
              <w:t>1</w:t>
            </w:r>
          </w:p>
        </w:tc>
        <w:tc>
          <w:tcPr>
            <w:tcW w:w="2261" w:type="pct"/>
            <w:tcBorders>
              <w:top w:val="single" w:color="auto" w:sz="4" w:space="0"/>
              <w:left w:val="single" w:color="auto" w:sz="4" w:space="0"/>
              <w:bottom w:val="single" w:color="auto" w:sz="4" w:space="0"/>
              <w:right w:val="single" w:color="auto" w:sz="4" w:space="0"/>
            </w:tcBorders>
            <w:vAlign w:val="center"/>
          </w:tcPr>
          <w:p w14:paraId="6C551319">
            <w:pPr>
              <w:spacing w:line="360" w:lineRule="auto"/>
              <w:rPr>
                <w:rFonts w:hint="eastAsia"/>
                <w:sz w:val="28"/>
                <w:szCs w:val="28"/>
              </w:rPr>
            </w:pPr>
            <w:r>
              <w:rPr>
                <w:rFonts w:hint="eastAsia"/>
                <w:sz w:val="28"/>
                <w:szCs w:val="28"/>
              </w:rPr>
              <w:t>算力资源</w:t>
            </w:r>
          </w:p>
        </w:tc>
        <w:tc>
          <w:tcPr>
            <w:tcW w:w="609" w:type="pct"/>
            <w:tcBorders>
              <w:top w:val="single" w:color="auto" w:sz="4" w:space="0"/>
              <w:left w:val="single" w:color="auto" w:sz="4" w:space="0"/>
              <w:bottom w:val="single" w:color="auto" w:sz="4" w:space="0"/>
              <w:right w:val="single" w:color="auto" w:sz="4" w:space="0"/>
            </w:tcBorders>
            <w:vAlign w:val="center"/>
          </w:tcPr>
          <w:p w14:paraId="364C5B74">
            <w:pPr>
              <w:spacing w:line="360" w:lineRule="auto"/>
              <w:jc w:val="center"/>
              <w:rPr>
                <w:rFonts w:hint="eastAsia"/>
                <w:sz w:val="28"/>
                <w:szCs w:val="28"/>
              </w:rPr>
            </w:pPr>
            <w:r>
              <w:rPr>
                <w:rFonts w:hint="eastAsia"/>
                <w:sz w:val="28"/>
                <w:szCs w:val="28"/>
              </w:rPr>
              <w:t>1套</w:t>
            </w:r>
          </w:p>
        </w:tc>
        <w:tc>
          <w:tcPr>
            <w:tcW w:w="817" w:type="pct"/>
            <w:vMerge w:val="restart"/>
            <w:tcBorders>
              <w:top w:val="single" w:color="auto" w:sz="4" w:space="0"/>
              <w:left w:val="single" w:color="auto" w:sz="4" w:space="0"/>
              <w:right w:val="single" w:color="auto" w:sz="4" w:space="0"/>
            </w:tcBorders>
            <w:vAlign w:val="center"/>
          </w:tcPr>
          <w:p w14:paraId="732212BF">
            <w:pPr>
              <w:spacing w:line="360" w:lineRule="auto"/>
              <w:jc w:val="center"/>
              <w:rPr>
                <w:rFonts w:hint="eastAsia"/>
                <w:sz w:val="28"/>
                <w:szCs w:val="28"/>
              </w:rPr>
            </w:pPr>
            <w:r>
              <w:rPr>
                <w:rFonts w:hint="eastAsia"/>
                <w:sz w:val="28"/>
                <w:szCs w:val="28"/>
              </w:rPr>
              <w:t>200</w:t>
            </w:r>
          </w:p>
        </w:tc>
      </w:tr>
      <w:tr w14:paraId="7691F1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Height w:val="934" w:hRule="atLeast"/>
        </w:trPr>
        <w:tc>
          <w:tcPr>
            <w:tcW w:w="810" w:type="pct"/>
            <w:vMerge w:val="continue"/>
            <w:tcBorders>
              <w:left w:val="single" w:color="auto" w:sz="4" w:space="0"/>
              <w:right w:val="single" w:color="auto" w:sz="4" w:space="0"/>
            </w:tcBorders>
          </w:tcPr>
          <w:p w14:paraId="5F9DB972">
            <w:pPr>
              <w:spacing w:line="360" w:lineRule="auto"/>
              <w:rPr>
                <w:rFonts w:hint="eastAsia"/>
                <w:sz w:val="28"/>
                <w:szCs w:val="28"/>
              </w:rPr>
            </w:pPr>
          </w:p>
        </w:tc>
        <w:tc>
          <w:tcPr>
            <w:tcW w:w="501" w:type="pct"/>
            <w:tcBorders>
              <w:left w:val="single" w:color="auto" w:sz="4" w:space="0"/>
              <w:right w:val="single" w:color="auto" w:sz="4" w:space="0"/>
            </w:tcBorders>
            <w:vAlign w:val="center"/>
          </w:tcPr>
          <w:p w14:paraId="67504B45">
            <w:pPr>
              <w:spacing w:line="360" w:lineRule="auto"/>
              <w:jc w:val="center"/>
              <w:rPr>
                <w:rFonts w:hint="eastAsia"/>
                <w:sz w:val="28"/>
                <w:szCs w:val="28"/>
              </w:rPr>
            </w:pPr>
            <w:r>
              <w:rPr>
                <w:rFonts w:hint="eastAsia"/>
                <w:sz w:val="28"/>
                <w:szCs w:val="28"/>
              </w:rPr>
              <w:t>2</w:t>
            </w:r>
          </w:p>
        </w:tc>
        <w:tc>
          <w:tcPr>
            <w:tcW w:w="2261" w:type="pct"/>
            <w:tcBorders>
              <w:top w:val="single" w:color="auto" w:sz="4" w:space="0"/>
              <w:left w:val="single" w:color="auto" w:sz="4" w:space="0"/>
              <w:bottom w:val="single" w:color="auto" w:sz="4" w:space="0"/>
              <w:right w:val="single" w:color="auto" w:sz="4" w:space="0"/>
            </w:tcBorders>
            <w:vAlign w:val="center"/>
          </w:tcPr>
          <w:p w14:paraId="6E8FBC83">
            <w:pPr>
              <w:spacing w:line="360" w:lineRule="auto"/>
              <w:rPr>
                <w:rFonts w:hint="eastAsia"/>
                <w:sz w:val="28"/>
                <w:szCs w:val="28"/>
              </w:rPr>
            </w:pPr>
            <w:r>
              <w:rPr>
                <w:sz w:val="28"/>
                <w:szCs w:val="28"/>
              </w:rPr>
              <w:t>影像阅片</w:t>
            </w:r>
            <w:r>
              <w:rPr>
                <w:rFonts w:hint="eastAsia"/>
                <w:sz w:val="28"/>
                <w:szCs w:val="28"/>
              </w:rPr>
              <w:t>软件</w:t>
            </w:r>
          </w:p>
        </w:tc>
        <w:tc>
          <w:tcPr>
            <w:tcW w:w="609" w:type="pct"/>
            <w:tcBorders>
              <w:top w:val="single" w:color="auto" w:sz="4" w:space="0"/>
              <w:left w:val="single" w:color="auto" w:sz="4" w:space="0"/>
              <w:bottom w:val="single" w:color="auto" w:sz="4" w:space="0"/>
              <w:right w:val="single" w:color="auto" w:sz="4" w:space="0"/>
            </w:tcBorders>
            <w:vAlign w:val="center"/>
          </w:tcPr>
          <w:p w14:paraId="3FC86D2E">
            <w:pPr>
              <w:spacing w:line="360" w:lineRule="auto"/>
              <w:jc w:val="center"/>
              <w:rPr>
                <w:rFonts w:hint="eastAsia"/>
                <w:sz w:val="28"/>
                <w:szCs w:val="28"/>
              </w:rPr>
            </w:pPr>
            <w:r>
              <w:rPr>
                <w:rFonts w:hint="eastAsia"/>
                <w:sz w:val="28"/>
                <w:szCs w:val="28"/>
              </w:rPr>
              <w:t>1套</w:t>
            </w:r>
          </w:p>
        </w:tc>
        <w:tc>
          <w:tcPr>
            <w:tcW w:w="817" w:type="pct"/>
            <w:vMerge w:val="continue"/>
            <w:tcBorders>
              <w:left w:val="single" w:color="auto" w:sz="4" w:space="0"/>
              <w:right w:val="single" w:color="auto" w:sz="4" w:space="0"/>
            </w:tcBorders>
            <w:vAlign w:val="center"/>
          </w:tcPr>
          <w:p w14:paraId="6A077969">
            <w:pPr>
              <w:spacing w:line="360" w:lineRule="auto"/>
              <w:rPr>
                <w:rFonts w:hint="eastAsia"/>
                <w:sz w:val="28"/>
                <w:szCs w:val="28"/>
              </w:rPr>
            </w:pPr>
          </w:p>
        </w:tc>
      </w:tr>
      <w:tr w14:paraId="17828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wAfter w:w="0" w:type="auto"/>
          <w:trHeight w:val="934" w:hRule="atLeast"/>
        </w:trPr>
        <w:tc>
          <w:tcPr>
            <w:tcW w:w="810" w:type="pct"/>
            <w:vMerge w:val="continue"/>
            <w:tcBorders>
              <w:left w:val="single" w:color="auto" w:sz="4" w:space="0"/>
              <w:right w:val="single" w:color="auto" w:sz="4" w:space="0"/>
            </w:tcBorders>
          </w:tcPr>
          <w:p w14:paraId="74E9801B">
            <w:pPr>
              <w:spacing w:line="360" w:lineRule="auto"/>
              <w:rPr>
                <w:rFonts w:hint="eastAsia"/>
                <w:sz w:val="28"/>
                <w:szCs w:val="28"/>
              </w:rPr>
            </w:pPr>
          </w:p>
        </w:tc>
        <w:tc>
          <w:tcPr>
            <w:tcW w:w="501" w:type="pct"/>
            <w:tcBorders>
              <w:left w:val="single" w:color="auto" w:sz="4" w:space="0"/>
              <w:right w:val="single" w:color="auto" w:sz="4" w:space="0"/>
            </w:tcBorders>
            <w:vAlign w:val="center"/>
          </w:tcPr>
          <w:p w14:paraId="6B4342BF">
            <w:pPr>
              <w:spacing w:line="360" w:lineRule="auto"/>
              <w:jc w:val="center"/>
              <w:rPr>
                <w:rFonts w:hint="eastAsia"/>
                <w:sz w:val="28"/>
                <w:szCs w:val="28"/>
              </w:rPr>
            </w:pPr>
            <w:r>
              <w:rPr>
                <w:rFonts w:hint="eastAsia"/>
                <w:sz w:val="28"/>
                <w:szCs w:val="28"/>
              </w:rPr>
              <w:t>3</w:t>
            </w:r>
          </w:p>
        </w:tc>
        <w:tc>
          <w:tcPr>
            <w:tcW w:w="2261" w:type="pct"/>
            <w:tcBorders>
              <w:top w:val="single" w:color="auto" w:sz="4" w:space="0"/>
              <w:left w:val="single" w:color="auto" w:sz="4" w:space="0"/>
              <w:bottom w:val="single" w:color="auto" w:sz="4" w:space="0"/>
              <w:right w:val="single" w:color="auto" w:sz="4" w:space="0"/>
            </w:tcBorders>
            <w:vAlign w:val="center"/>
          </w:tcPr>
          <w:p w14:paraId="0E647853">
            <w:pPr>
              <w:spacing w:line="360" w:lineRule="auto"/>
              <w:rPr>
                <w:rFonts w:hint="eastAsia"/>
                <w:sz w:val="28"/>
                <w:szCs w:val="28"/>
              </w:rPr>
            </w:pPr>
            <w:r>
              <w:rPr>
                <w:sz w:val="28"/>
                <w:szCs w:val="28"/>
              </w:rPr>
              <w:t>肝脏血管组智能分析</w:t>
            </w:r>
            <w:r>
              <w:rPr>
                <w:rFonts w:hint="eastAsia"/>
                <w:sz w:val="28"/>
                <w:szCs w:val="28"/>
              </w:rPr>
              <w:t>软件</w:t>
            </w:r>
          </w:p>
        </w:tc>
        <w:tc>
          <w:tcPr>
            <w:tcW w:w="609" w:type="pct"/>
            <w:tcBorders>
              <w:top w:val="single" w:color="auto" w:sz="4" w:space="0"/>
              <w:left w:val="single" w:color="auto" w:sz="4" w:space="0"/>
              <w:bottom w:val="single" w:color="auto" w:sz="4" w:space="0"/>
              <w:right w:val="single" w:color="auto" w:sz="4" w:space="0"/>
            </w:tcBorders>
            <w:vAlign w:val="center"/>
          </w:tcPr>
          <w:p w14:paraId="3F68C106">
            <w:pPr>
              <w:spacing w:line="360" w:lineRule="auto"/>
              <w:jc w:val="center"/>
              <w:rPr>
                <w:rFonts w:hint="eastAsia"/>
                <w:sz w:val="28"/>
                <w:szCs w:val="28"/>
              </w:rPr>
            </w:pPr>
            <w:r>
              <w:rPr>
                <w:rFonts w:hint="eastAsia"/>
                <w:sz w:val="28"/>
                <w:szCs w:val="28"/>
              </w:rPr>
              <w:t>1套</w:t>
            </w:r>
          </w:p>
        </w:tc>
        <w:tc>
          <w:tcPr>
            <w:tcW w:w="817" w:type="pct"/>
            <w:vMerge w:val="continue"/>
            <w:tcBorders>
              <w:left w:val="single" w:color="auto" w:sz="4" w:space="0"/>
              <w:right w:val="single" w:color="auto" w:sz="4" w:space="0"/>
            </w:tcBorders>
            <w:vAlign w:val="center"/>
          </w:tcPr>
          <w:p w14:paraId="30C1D7DA">
            <w:pPr>
              <w:spacing w:line="360" w:lineRule="auto"/>
              <w:rPr>
                <w:rFonts w:hint="eastAsia"/>
                <w:sz w:val="28"/>
                <w:szCs w:val="28"/>
              </w:rPr>
            </w:pPr>
          </w:p>
        </w:tc>
      </w:tr>
    </w:tbl>
    <w:p w14:paraId="10AB18F5">
      <w:pPr>
        <w:numPr>
          <w:ilvl w:val="0"/>
          <w:numId w:val="1"/>
        </w:numPr>
        <w:spacing w:line="360" w:lineRule="auto"/>
        <w:ind w:left="0" w:leftChars="0" w:firstLine="0" w:firstLineChars="0"/>
        <w:rPr>
          <w:rFonts w:hint="eastAsia"/>
          <w:b/>
          <w:bCs/>
          <w:sz w:val="28"/>
          <w:szCs w:val="28"/>
          <w:lang w:val="en-US" w:eastAsia="zh-CN"/>
        </w:rPr>
      </w:pPr>
      <w:r>
        <w:rPr>
          <w:rFonts w:hint="eastAsia"/>
          <w:b/>
          <w:bCs/>
          <w:sz w:val="28"/>
          <w:szCs w:val="28"/>
          <w:lang w:val="en-US" w:eastAsia="zh-CN"/>
        </w:rPr>
        <w:t>技术功能及服务要求</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6"/>
        <w:gridCol w:w="736"/>
        <w:gridCol w:w="1532"/>
        <w:gridCol w:w="3934"/>
        <w:gridCol w:w="1014"/>
      </w:tblGrid>
      <w:tr w14:paraId="4A7EB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pct"/>
          </w:tcPr>
          <w:p w14:paraId="73024131">
            <w:pPr>
              <w:spacing w:line="360" w:lineRule="auto"/>
              <w:jc w:val="center"/>
              <w:rPr>
                <w:rFonts w:hint="eastAsia"/>
                <w:b/>
                <w:bCs/>
              </w:rPr>
            </w:pPr>
            <w:r>
              <w:rPr>
                <w:rFonts w:hint="eastAsia"/>
                <w:b/>
                <w:bCs/>
              </w:rPr>
              <w:t>合同包名</w:t>
            </w:r>
          </w:p>
        </w:tc>
        <w:tc>
          <w:tcPr>
            <w:tcW w:w="432" w:type="pct"/>
          </w:tcPr>
          <w:p w14:paraId="68CCF38C">
            <w:pPr>
              <w:spacing w:line="360" w:lineRule="auto"/>
              <w:jc w:val="center"/>
              <w:rPr>
                <w:rFonts w:hint="eastAsia"/>
                <w:b/>
                <w:bCs/>
              </w:rPr>
            </w:pPr>
            <w:r>
              <w:rPr>
                <w:rFonts w:hint="eastAsia"/>
                <w:b/>
                <w:bCs/>
              </w:rPr>
              <w:t>序号</w:t>
            </w:r>
          </w:p>
        </w:tc>
        <w:tc>
          <w:tcPr>
            <w:tcW w:w="899" w:type="pct"/>
            <w:vAlign w:val="center"/>
          </w:tcPr>
          <w:p w14:paraId="1D205E30">
            <w:pPr>
              <w:spacing w:line="360" w:lineRule="auto"/>
              <w:jc w:val="center"/>
              <w:rPr>
                <w:rFonts w:hint="eastAsia"/>
                <w:b/>
                <w:bCs/>
              </w:rPr>
            </w:pPr>
            <w:r>
              <w:rPr>
                <w:rFonts w:hint="eastAsia"/>
                <w:b/>
                <w:bCs/>
              </w:rPr>
              <w:t>功能</w:t>
            </w:r>
          </w:p>
        </w:tc>
        <w:tc>
          <w:tcPr>
            <w:tcW w:w="2308" w:type="pct"/>
            <w:vAlign w:val="center"/>
          </w:tcPr>
          <w:p w14:paraId="07457620">
            <w:pPr>
              <w:spacing w:line="360" w:lineRule="auto"/>
              <w:jc w:val="center"/>
              <w:rPr>
                <w:rFonts w:hint="eastAsia"/>
                <w:b/>
                <w:bCs/>
              </w:rPr>
            </w:pPr>
            <w:r>
              <w:rPr>
                <w:rFonts w:hint="eastAsia"/>
                <w:b/>
                <w:bCs/>
              </w:rPr>
              <w:t>功能描述</w:t>
            </w:r>
          </w:p>
        </w:tc>
        <w:tc>
          <w:tcPr>
            <w:tcW w:w="595" w:type="pct"/>
            <w:vAlign w:val="center"/>
          </w:tcPr>
          <w:p w14:paraId="20CE6006">
            <w:pPr>
              <w:spacing w:line="360" w:lineRule="auto"/>
              <w:jc w:val="center"/>
              <w:rPr>
                <w:rFonts w:hint="eastAsia"/>
                <w:b/>
                <w:bCs/>
              </w:rPr>
            </w:pPr>
            <w:r>
              <w:rPr>
                <w:rFonts w:hint="eastAsia"/>
                <w:b/>
                <w:bCs/>
              </w:rPr>
              <w:t>数量</w:t>
            </w:r>
          </w:p>
        </w:tc>
      </w:tr>
      <w:tr w14:paraId="0C530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pct"/>
            <w:vMerge w:val="restart"/>
          </w:tcPr>
          <w:p w14:paraId="244F5DB3">
            <w:pPr>
              <w:spacing w:line="360" w:lineRule="auto"/>
              <w:jc w:val="center"/>
              <w:rPr>
                <w:rFonts w:hint="eastAsia"/>
                <w:b/>
                <w:bCs/>
              </w:rPr>
            </w:pPr>
            <w:r>
              <w:rPr>
                <w:rFonts w:hint="eastAsia"/>
                <w:sz w:val="28"/>
                <w:szCs w:val="28"/>
              </w:rPr>
              <w:t>AI大模型一体机</w:t>
            </w:r>
          </w:p>
        </w:tc>
        <w:tc>
          <w:tcPr>
            <w:tcW w:w="432" w:type="pct"/>
          </w:tcPr>
          <w:p w14:paraId="67264F8B">
            <w:pPr>
              <w:spacing w:line="360" w:lineRule="auto"/>
              <w:jc w:val="center"/>
              <w:rPr>
                <w:rFonts w:hint="eastAsia"/>
              </w:rPr>
            </w:pPr>
            <w:r>
              <w:rPr>
                <w:rFonts w:hint="eastAsia"/>
                <w:sz w:val="28"/>
                <w:szCs w:val="28"/>
              </w:rPr>
              <w:t>1</w:t>
            </w:r>
          </w:p>
        </w:tc>
        <w:tc>
          <w:tcPr>
            <w:tcW w:w="899" w:type="pct"/>
            <w:vAlign w:val="center"/>
          </w:tcPr>
          <w:p w14:paraId="13CA70A0">
            <w:pPr>
              <w:spacing w:line="360" w:lineRule="auto"/>
              <w:jc w:val="center"/>
              <w:rPr>
                <w:rFonts w:hint="eastAsia"/>
                <w:b/>
                <w:bCs/>
              </w:rPr>
            </w:pPr>
            <w:r>
              <w:rPr>
                <w:rFonts w:hint="eastAsia"/>
              </w:rPr>
              <w:t>算力资源</w:t>
            </w:r>
          </w:p>
        </w:tc>
        <w:tc>
          <w:tcPr>
            <w:tcW w:w="2308" w:type="pct"/>
            <w:vAlign w:val="center"/>
          </w:tcPr>
          <w:p w14:paraId="767EA117">
            <w:pPr>
              <w:spacing w:line="360" w:lineRule="auto"/>
              <w:jc w:val="both"/>
              <w:rPr>
                <w:rFonts w:hint="eastAsia"/>
              </w:rPr>
            </w:pPr>
            <w:r>
              <w:t>1、配套硬件资源：CPU物理核心≥192核；</w:t>
            </w:r>
            <w:r>
              <w:rPr>
                <w:rFonts w:hint="eastAsia"/>
              </w:rPr>
              <w:t>GPU模组≥</w:t>
            </w:r>
            <w:r>
              <w:t>8，</w:t>
            </w:r>
            <w:r>
              <w:rPr>
                <w:rFonts w:hint="eastAsia"/>
              </w:rPr>
              <w:t>AI处理器≥8颗，</w:t>
            </w:r>
            <w:r>
              <w:t>单颗处理器HBM≥64G，整体提供不低于2.2 PFLOPS FP16</w:t>
            </w:r>
            <w:r>
              <w:rPr>
                <w:rFonts w:hint="eastAsia"/>
              </w:rPr>
              <w:t>或</w:t>
            </w:r>
            <w:r>
              <w:t>0.6 PFLOPS FP32算力；内部 8 颗A</w:t>
            </w:r>
            <w:r>
              <w:rPr>
                <w:rFonts w:hint="eastAsia"/>
              </w:rPr>
              <w:t>I处理器</w:t>
            </w:r>
            <w:r>
              <w:t>采用fullmesh 连接 ，8 颗A</w:t>
            </w:r>
            <w:r>
              <w:rPr>
                <w:rFonts w:hint="eastAsia"/>
              </w:rPr>
              <w:t>I处理器</w:t>
            </w:r>
            <w:r>
              <w:t>互联带宽≥39</w:t>
            </w:r>
            <w:r>
              <w:rPr>
                <w:rFonts w:hint="eastAsia"/>
              </w:rPr>
              <w:t>0</w:t>
            </w:r>
            <w:r>
              <w:t>GB/s</w:t>
            </w:r>
            <w:r>
              <w:rPr>
                <w:rFonts w:hint="eastAsia"/>
              </w:rPr>
              <w:t>；内存</w:t>
            </w:r>
            <w:r>
              <w:t>≥1.5T；</w:t>
            </w:r>
            <w:r>
              <w:rPr>
                <w:rFonts w:hint="eastAsia"/>
              </w:rPr>
              <w:t>配置NVME SSD硬盘，Raid后可用容量</w:t>
            </w:r>
            <w:r>
              <w:t>≥</w:t>
            </w:r>
            <w:r>
              <w:rPr>
                <w:rFonts w:hint="eastAsia"/>
              </w:rPr>
              <w:t>10T；</w:t>
            </w:r>
          </w:p>
          <w:p w14:paraId="72F6DE3F">
            <w:pPr>
              <w:spacing w:line="360" w:lineRule="auto"/>
              <w:jc w:val="both"/>
              <w:rPr>
                <w:rFonts w:hint="eastAsia"/>
              </w:rPr>
            </w:pPr>
            <w:r>
              <w:t>2、需部署≥2套国产开放权重大语言模型的部署。单个模型需满足</w:t>
            </w:r>
            <w:r>
              <w:rPr>
                <w:rFonts w:hint="eastAsia"/>
              </w:rPr>
              <w:t>：</w:t>
            </w:r>
            <w:r>
              <w:t>上下文长度≥128K</w:t>
            </w:r>
            <w:r>
              <w:rPr>
                <w:rFonts w:hint="eastAsia"/>
              </w:rPr>
              <w:t>；</w:t>
            </w:r>
          </w:p>
          <w:p w14:paraId="03B91080">
            <w:pPr>
              <w:spacing w:line="360" w:lineRule="auto"/>
              <w:jc w:val="both"/>
              <w:rPr>
                <w:rFonts w:hint="eastAsia"/>
              </w:rPr>
            </w:pPr>
            <w:r>
              <w:rPr>
                <w:rFonts w:hint="eastAsia"/>
              </w:rPr>
              <w:t>3、支持</w:t>
            </w:r>
            <w:r>
              <w:t>镜像管理</w:t>
            </w:r>
            <w:r>
              <w:rPr>
                <w:rFonts w:hint="eastAsia"/>
              </w:rPr>
              <w:t>，</w:t>
            </w:r>
            <w:r>
              <w:t>统一管理各类推理框架容器镜像（</w:t>
            </w:r>
            <w:r>
              <w:rPr>
                <w:rFonts w:hint="eastAsia"/>
              </w:rPr>
              <w:t>包含</w:t>
            </w:r>
            <w:r>
              <w:t>vLLM、SGLang、MindIE、TEI、llama.cpp、MinerU等），支持新增镜像、多版本维护，可配置镜像名称、框架类型、镜像地址、启动入口命令、执行命令、运行参数与环境变量，方便模型实例部署时直接选用对应镜像。</w:t>
            </w:r>
          </w:p>
          <w:p w14:paraId="6DBAAA7B">
            <w:pPr>
              <w:spacing w:line="360" w:lineRule="auto"/>
              <w:jc w:val="both"/>
              <w:rPr>
                <w:rFonts w:hint="eastAsia"/>
              </w:rPr>
            </w:pPr>
            <w:r>
              <w:rPr>
                <w:rFonts w:hint="eastAsia"/>
              </w:rPr>
              <w:t>4、支持模型管理，</w:t>
            </w:r>
            <w:r>
              <w:t>支持从 Hugging Face、ModelScope、本地路径多来源接入模型，可指定存储节点、模型路径、所属节点、运行状态、存储路径、文件大小等信息，提供路径查询、节点筛选能力，支持模型部署，为模型服务实例部署提供模型数据源支撑。</w:t>
            </w:r>
          </w:p>
          <w:p w14:paraId="2D2B226D">
            <w:pPr>
              <w:spacing w:line="360" w:lineRule="auto"/>
              <w:jc w:val="both"/>
              <w:rPr>
                <w:rFonts w:hint="eastAsia"/>
              </w:rPr>
            </w:pPr>
            <w:r>
              <w:rPr>
                <w:rFonts w:hint="eastAsia"/>
              </w:rPr>
              <w:t>5、支持资源分配和隔离</w:t>
            </w:r>
            <w:r>
              <w:t>，支持将集群内计算卡分配给指定组织，展示已分配、可分配算力卡数量，实现算力卡的分配、流转与回收，管控各组织可用算力资源，保障多租户之间算力资源隔离与合理调度。</w:t>
            </w:r>
          </w:p>
          <w:p w14:paraId="584F605F">
            <w:pPr>
              <w:spacing w:line="360" w:lineRule="auto"/>
              <w:jc w:val="center"/>
              <w:rPr>
                <w:rFonts w:hint="eastAsia"/>
                <w:b/>
                <w:bCs/>
              </w:rPr>
            </w:pPr>
            <w:r>
              <w:rPr>
                <w:rFonts w:hint="eastAsia"/>
              </w:rPr>
              <w:t>6、</w:t>
            </w:r>
            <w:r>
              <w:t>提供5年原厂维保，维保期内根据用户需求免费更换模型</w:t>
            </w:r>
            <w:r>
              <w:rPr>
                <w:rFonts w:hint="eastAsia"/>
              </w:rPr>
              <w:t>。</w:t>
            </w:r>
          </w:p>
        </w:tc>
        <w:tc>
          <w:tcPr>
            <w:tcW w:w="595" w:type="pct"/>
            <w:vAlign w:val="center"/>
          </w:tcPr>
          <w:p w14:paraId="783109D4">
            <w:pPr>
              <w:spacing w:line="360" w:lineRule="auto"/>
              <w:jc w:val="center"/>
              <w:rPr>
                <w:rFonts w:hint="eastAsia"/>
                <w:b/>
                <w:bCs/>
              </w:rPr>
            </w:pPr>
            <w:r>
              <w:rPr>
                <w:rFonts w:hint="eastAsia"/>
              </w:rPr>
              <w:t>1套</w:t>
            </w:r>
          </w:p>
        </w:tc>
      </w:tr>
      <w:tr w14:paraId="38A99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766" w:type="pct"/>
            <w:vMerge w:val="continue"/>
            <w:vAlign w:val="center"/>
          </w:tcPr>
          <w:p w14:paraId="752FD232">
            <w:pPr>
              <w:spacing w:line="360" w:lineRule="auto"/>
              <w:jc w:val="both"/>
              <w:rPr>
                <w:rFonts w:hint="eastAsia"/>
              </w:rPr>
            </w:pPr>
          </w:p>
        </w:tc>
        <w:tc>
          <w:tcPr>
            <w:tcW w:w="432" w:type="pct"/>
          </w:tcPr>
          <w:p w14:paraId="2EBBB8F5">
            <w:pPr>
              <w:spacing w:line="360" w:lineRule="auto"/>
              <w:jc w:val="both"/>
              <w:rPr>
                <w:rFonts w:hint="eastAsia"/>
              </w:rPr>
            </w:pPr>
            <w:r>
              <w:rPr>
                <w:rFonts w:hint="eastAsia"/>
              </w:rPr>
              <w:t>2</w:t>
            </w:r>
          </w:p>
        </w:tc>
        <w:tc>
          <w:tcPr>
            <w:tcW w:w="899" w:type="pct"/>
            <w:vAlign w:val="center"/>
          </w:tcPr>
          <w:p w14:paraId="0507076C">
            <w:pPr>
              <w:spacing w:line="360" w:lineRule="auto"/>
              <w:jc w:val="both"/>
              <w:rPr>
                <w:rFonts w:hint="eastAsia"/>
              </w:rPr>
            </w:pPr>
            <w:r>
              <w:rPr>
                <w:rFonts w:hint="eastAsia"/>
              </w:rPr>
              <w:t>影像阅片软件</w:t>
            </w:r>
          </w:p>
        </w:tc>
        <w:tc>
          <w:tcPr>
            <w:tcW w:w="2308" w:type="pct"/>
            <w:vAlign w:val="center"/>
          </w:tcPr>
          <w:p w14:paraId="2C7692A4">
            <w:pPr>
              <w:pStyle w:val="40"/>
              <w:spacing w:before="60" w:after="60" w:line="360" w:lineRule="auto"/>
              <w:textAlignment w:val="baseline"/>
              <w:rPr>
                <w:rFonts w:hint="eastAsia" w:ascii="宋体" w:hAnsi="宋体"/>
                <w:b/>
                <w:bCs/>
                <w:kern w:val="0"/>
                <w:szCs w:val="24"/>
              </w:rPr>
            </w:pPr>
            <w:r>
              <w:rPr>
                <w:rFonts w:ascii="宋体" w:hAnsi="宋体"/>
                <w:b/>
                <w:bCs/>
                <w:kern w:val="0"/>
                <w:szCs w:val="24"/>
              </w:rPr>
              <w:t>影像基础阅片</w:t>
            </w:r>
            <w:r>
              <w:rPr>
                <w:rFonts w:hint="eastAsia" w:ascii="宋体" w:hAnsi="宋体"/>
                <w:b/>
                <w:bCs/>
                <w:kern w:val="0"/>
                <w:szCs w:val="24"/>
              </w:rPr>
              <w:t>能力：</w:t>
            </w:r>
          </w:p>
          <w:p w14:paraId="71BD08C5">
            <w:pPr>
              <w:pStyle w:val="40"/>
              <w:spacing w:before="60" w:after="60" w:line="360" w:lineRule="auto"/>
              <w:textAlignment w:val="baseline"/>
              <w:rPr>
                <w:rFonts w:hint="eastAsia" w:ascii="宋体" w:hAnsi="宋体"/>
                <w:kern w:val="0"/>
                <w:szCs w:val="24"/>
              </w:rPr>
            </w:pPr>
            <w:r>
              <w:rPr>
                <w:rFonts w:hint="eastAsia" w:ascii="宋体" w:hAnsi="宋体"/>
                <w:kern w:val="0"/>
                <w:szCs w:val="24"/>
              </w:rPr>
              <w:t>1.支持患者列表查看，显示患者姓名、性别、生日、检查日期等信息。</w:t>
            </w:r>
          </w:p>
          <w:p w14:paraId="2BAA8F66">
            <w:pPr>
              <w:pStyle w:val="40"/>
              <w:spacing w:before="60" w:after="60" w:line="360" w:lineRule="auto"/>
              <w:textAlignment w:val="baseline"/>
              <w:rPr>
                <w:rFonts w:hint="eastAsia" w:ascii="宋体" w:hAnsi="宋体"/>
                <w:kern w:val="0"/>
                <w:szCs w:val="24"/>
              </w:rPr>
            </w:pPr>
            <w:r>
              <w:rPr>
                <w:rFonts w:hint="eastAsia" w:ascii="宋体" w:hAnsi="宋体"/>
                <w:kern w:val="0"/>
                <w:szCs w:val="24"/>
              </w:rPr>
              <w:t>2.支持输入患者姓名及患者编号等进行数据查询。</w:t>
            </w:r>
          </w:p>
          <w:p w14:paraId="5996C5A8">
            <w:pPr>
              <w:pStyle w:val="40"/>
              <w:spacing w:before="60" w:after="60" w:line="360" w:lineRule="auto"/>
              <w:textAlignment w:val="baseline"/>
              <w:rPr>
                <w:rFonts w:hint="eastAsia" w:ascii="宋体" w:hAnsi="宋体"/>
                <w:kern w:val="0"/>
                <w:szCs w:val="24"/>
              </w:rPr>
            </w:pPr>
            <w:r>
              <w:rPr>
                <w:rFonts w:hint="eastAsia" w:ascii="宋体" w:hAnsi="宋体"/>
                <w:kern w:val="0"/>
                <w:szCs w:val="24"/>
              </w:rPr>
              <w:t>3.支持模糊不完整搜索。</w:t>
            </w:r>
          </w:p>
          <w:p w14:paraId="167633BA">
            <w:pPr>
              <w:pStyle w:val="40"/>
              <w:spacing w:before="60" w:after="60" w:line="360" w:lineRule="auto"/>
              <w:textAlignment w:val="baseline"/>
              <w:rPr>
                <w:rFonts w:hint="eastAsia" w:ascii="宋体" w:hAnsi="宋体"/>
                <w:kern w:val="0"/>
                <w:szCs w:val="24"/>
              </w:rPr>
            </w:pPr>
            <w:r>
              <w:rPr>
                <w:rFonts w:hint="eastAsia" w:ascii="宋体" w:hAnsi="宋体"/>
                <w:kern w:val="0"/>
                <w:szCs w:val="24"/>
              </w:rPr>
              <w:t>4.筛选支持CT、MR、DX、全部等模态下拉选择。</w:t>
            </w:r>
          </w:p>
          <w:p w14:paraId="2EA0FC99">
            <w:pPr>
              <w:pStyle w:val="40"/>
              <w:spacing w:before="60" w:after="60" w:line="360" w:lineRule="auto"/>
              <w:textAlignment w:val="baseline"/>
              <w:rPr>
                <w:rFonts w:hint="eastAsia" w:ascii="宋体" w:hAnsi="宋体"/>
                <w:kern w:val="0"/>
                <w:szCs w:val="24"/>
              </w:rPr>
            </w:pPr>
            <w:r>
              <w:rPr>
                <w:rFonts w:hint="eastAsia" w:ascii="宋体" w:hAnsi="宋体"/>
                <w:kern w:val="0"/>
                <w:szCs w:val="24"/>
              </w:rPr>
              <w:t>5.支持当日、三日内、七日内、一个月内、三个月内、全部等时间下拉选择。</w:t>
            </w:r>
          </w:p>
          <w:p w14:paraId="1C353C55">
            <w:pPr>
              <w:pStyle w:val="40"/>
              <w:spacing w:before="60" w:after="60" w:line="360" w:lineRule="auto"/>
              <w:textAlignment w:val="baseline"/>
              <w:rPr>
                <w:rFonts w:hint="eastAsia" w:ascii="宋体" w:hAnsi="宋体"/>
                <w:kern w:val="0"/>
                <w:szCs w:val="24"/>
              </w:rPr>
            </w:pPr>
            <w:r>
              <w:rPr>
                <w:rFonts w:hint="eastAsia" w:ascii="宋体" w:hAnsi="宋体"/>
                <w:kern w:val="0"/>
                <w:szCs w:val="24"/>
              </w:rPr>
              <w:t>6.支持展示选定检查的序列信息。</w:t>
            </w:r>
          </w:p>
          <w:p w14:paraId="36B02006">
            <w:pPr>
              <w:pStyle w:val="40"/>
              <w:spacing w:before="60" w:after="60" w:line="360" w:lineRule="auto"/>
              <w:textAlignment w:val="baseline"/>
              <w:rPr>
                <w:rFonts w:hint="eastAsia" w:ascii="宋体" w:hAnsi="宋体"/>
                <w:kern w:val="0"/>
                <w:szCs w:val="24"/>
              </w:rPr>
            </w:pPr>
            <w:r>
              <w:rPr>
                <w:rFonts w:hint="eastAsia" w:ascii="宋体" w:hAnsi="宋体"/>
                <w:kern w:val="0"/>
                <w:szCs w:val="24"/>
              </w:rPr>
              <w:t>7.支持切换序列查看。</w:t>
            </w:r>
          </w:p>
          <w:p w14:paraId="391EF09D">
            <w:pPr>
              <w:pStyle w:val="40"/>
              <w:spacing w:before="60" w:after="60" w:line="360" w:lineRule="auto"/>
              <w:textAlignment w:val="baseline"/>
              <w:rPr>
                <w:rFonts w:hint="eastAsia" w:ascii="宋体" w:hAnsi="宋体"/>
                <w:kern w:val="0"/>
                <w:szCs w:val="24"/>
              </w:rPr>
            </w:pPr>
            <w:r>
              <w:rPr>
                <w:rFonts w:hint="eastAsia" w:ascii="宋体" w:hAnsi="宋体"/>
                <w:kern w:val="0"/>
                <w:szCs w:val="24"/>
              </w:rPr>
              <w:t>8.支持常用工具进行窗格布局，实现图像的翻页、窗宽窗位调整、图像平移、图像缩放、文本标注、箭头标注、数值测量、VR图像裁剪、重新加载图像等。</w:t>
            </w:r>
          </w:p>
          <w:p w14:paraId="5ECB240E">
            <w:pPr>
              <w:spacing w:line="360" w:lineRule="auto"/>
              <w:jc w:val="both"/>
              <w:rPr>
                <w:rFonts w:hint="eastAsia"/>
              </w:rPr>
            </w:pPr>
            <w:r>
              <w:rPr>
                <w:rFonts w:hint="eastAsia"/>
              </w:rPr>
              <w:t>9.支持包括矩形区域测量、圆形区域测量、直线长度测量、自由轮廓区域测量、实时像素测量、角度测量等在内的多种测量功能、测量内容包括区域面积、最大值、最小值、均值、方差等影像统计学信息。</w:t>
            </w:r>
          </w:p>
          <w:p w14:paraId="2A899AD1">
            <w:pPr>
              <w:spacing w:line="360" w:lineRule="auto"/>
              <w:jc w:val="both"/>
              <w:rPr>
                <w:rFonts w:hint="eastAsia"/>
              </w:rPr>
            </w:pPr>
            <w:r>
              <w:rPr>
                <w:rFonts w:hint="eastAsia"/>
              </w:rPr>
              <w:t>10、配套</w:t>
            </w:r>
            <w:r>
              <w:t>提供支撑该系统运行的必要硬件</w:t>
            </w:r>
            <w:r>
              <w:rPr>
                <w:rFonts w:hint="eastAsia"/>
              </w:rPr>
              <w:t>。</w:t>
            </w:r>
          </w:p>
          <w:p w14:paraId="6CA9EA17">
            <w:pPr>
              <w:pStyle w:val="40"/>
              <w:spacing w:before="60" w:after="60" w:line="360" w:lineRule="auto"/>
              <w:textAlignment w:val="baseline"/>
              <w:rPr>
                <w:rFonts w:hint="eastAsia" w:ascii="宋体" w:hAnsi="宋体"/>
                <w:b/>
                <w:bCs/>
                <w:kern w:val="0"/>
                <w:szCs w:val="24"/>
              </w:rPr>
            </w:pPr>
            <w:r>
              <w:rPr>
                <w:rFonts w:ascii="宋体" w:hAnsi="宋体"/>
                <w:b/>
                <w:bCs/>
                <w:kern w:val="0"/>
                <w:szCs w:val="24"/>
              </w:rPr>
              <w:t>影像三维阅片</w:t>
            </w:r>
            <w:r>
              <w:rPr>
                <w:rFonts w:hint="eastAsia" w:ascii="宋体" w:hAnsi="宋体"/>
                <w:b/>
                <w:bCs/>
                <w:kern w:val="0"/>
                <w:szCs w:val="24"/>
              </w:rPr>
              <w:t>能力：</w:t>
            </w:r>
          </w:p>
          <w:p w14:paraId="6EE09EA3">
            <w:pPr>
              <w:pStyle w:val="40"/>
              <w:spacing w:before="60" w:after="60" w:line="360" w:lineRule="auto"/>
              <w:textAlignment w:val="baseline"/>
              <w:rPr>
                <w:rFonts w:hint="eastAsia" w:ascii="宋体" w:hAnsi="宋体"/>
                <w:kern w:val="0"/>
                <w:szCs w:val="24"/>
              </w:rPr>
            </w:pPr>
            <w:r>
              <w:rPr>
                <w:rFonts w:hint="eastAsia" w:ascii="宋体" w:hAnsi="宋体"/>
                <w:kern w:val="0"/>
                <w:szCs w:val="24"/>
              </w:rPr>
              <w:t>1.支持多平面MPR重建显示与实时调窗、平移、缩放交互</w:t>
            </w:r>
          </w:p>
          <w:p w14:paraId="77EF824F">
            <w:pPr>
              <w:pStyle w:val="40"/>
              <w:spacing w:before="60" w:after="60" w:line="360" w:lineRule="auto"/>
              <w:textAlignment w:val="baseline"/>
              <w:rPr>
                <w:rFonts w:hint="eastAsia" w:ascii="宋体" w:hAnsi="宋体"/>
                <w:kern w:val="0"/>
                <w:szCs w:val="24"/>
              </w:rPr>
            </w:pPr>
            <w:r>
              <w:rPr>
                <w:rFonts w:hint="eastAsia" w:ascii="宋体" w:hAnsi="宋体"/>
                <w:kern w:val="0"/>
                <w:szCs w:val="24"/>
              </w:rPr>
              <w:t>2.支持任意层厚平面MPR重建显示与实时调窗、平移、缩放交互。</w:t>
            </w:r>
          </w:p>
          <w:p w14:paraId="2DBB2A3E">
            <w:pPr>
              <w:pStyle w:val="40"/>
              <w:spacing w:before="60" w:after="60" w:line="360" w:lineRule="auto"/>
              <w:textAlignment w:val="baseline"/>
              <w:rPr>
                <w:rFonts w:hint="eastAsia" w:ascii="宋体" w:hAnsi="宋体"/>
                <w:kern w:val="0"/>
                <w:szCs w:val="24"/>
              </w:rPr>
            </w:pPr>
            <w:r>
              <w:rPr>
                <w:rFonts w:hint="eastAsia" w:ascii="宋体" w:hAnsi="宋体"/>
                <w:kern w:val="0"/>
                <w:szCs w:val="24"/>
              </w:rPr>
              <w:t>3.支持针对多平面MPR的最大、最小、均值等多种重建方式。</w:t>
            </w:r>
          </w:p>
          <w:p w14:paraId="6DF6EEAF">
            <w:pPr>
              <w:pStyle w:val="40"/>
              <w:spacing w:before="60" w:after="60" w:line="360" w:lineRule="auto"/>
              <w:textAlignment w:val="baseline"/>
              <w:rPr>
                <w:rFonts w:hint="eastAsia" w:ascii="宋体" w:hAnsi="宋体"/>
                <w:kern w:val="0"/>
                <w:szCs w:val="24"/>
              </w:rPr>
            </w:pPr>
            <w:r>
              <w:rPr>
                <w:rFonts w:hint="eastAsia" w:ascii="宋体" w:hAnsi="宋体"/>
                <w:kern w:val="0"/>
                <w:szCs w:val="24"/>
              </w:rPr>
              <w:t>4.支持包括矩形区域测量、圆形区域测量、直线长度测量、自由轮廓区域测量、实时像素测量、角度测量等在内的多种测量功能、测量内容包括区域面积、最大值、最小值、均值、方差等影像统计学信息。</w:t>
            </w:r>
          </w:p>
          <w:p w14:paraId="4720597C">
            <w:pPr>
              <w:pStyle w:val="40"/>
              <w:spacing w:before="60" w:after="60" w:line="360" w:lineRule="auto"/>
              <w:textAlignment w:val="baseline"/>
              <w:rPr>
                <w:rFonts w:hint="eastAsia" w:ascii="宋体" w:hAnsi="宋体"/>
                <w:kern w:val="0"/>
                <w:szCs w:val="24"/>
              </w:rPr>
            </w:pPr>
            <w:r>
              <w:rPr>
                <w:rFonts w:hint="eastAsia" w:ascii="宋体" w:hAnsi="宋体"/>
                <w:kern w:val="0"/>
                <w:szCs w:val="24"/>
              </w:rPr>
              <w:t>5. 支持容积渲染图像的交互式自由区域内/外部三维立体裁剪功能。</w:t>
            </w:r>
          </w:p>
          <w:p w14:paraId="6ECFDEF9">
            <w:pPr>
              <w:spacing w:line="360" w:lineRule="auto"/>
              <w:jc w:val="both"/>
              <w:rPr>
                <w:rFonts w:hint="eastAsia"/>
              </w:rPr>
            </w:pPr>
            <w:r>
              <w:rPr>
                <w:rFonts w:hint="eastAsia"/>
              </w:rPr>
              <w:t>6. 支持三维容积渲染显示功能，并支持八种显示风格切换。</w:t>
            </w:r>
          </w:p>
        </w:tc>
        <w:tc>
          <w:tcPr>
            <w:tcW w:w="595" w:type="pct"/>
            <w:vAlign w:val="center"/>
          </w:tcPr>
          <w:p w14:paraId="04F9C5AF">
            <w:pPr>
              <w:spacing w:line="360" w:lineRule="auto"/>
              <w:jc w:val="both"/>
              <w:rPr>
                <w:rFonts w:hint="eastAsia"/>
              </w:rPr>
            </w:pPr>
            <w:r>
              <w:rPr>
                <w:rFonts w:hint="eastAsia"/>
              </w:rPr>
              <w:t>1套</w:t>
            </w:r>
          </w:p>
        </w:tc>
      </w:tr>
      <w:tr w14:paraId="750E6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trPr>
        <w:tc>
          <w:tcPr>
            <w:tcW w:w="766" w:type="pct"/>
            <w:vMerge w:val="continue"/>
            <w:vAlign w:val="center"/>
          </w:tcPr>
          <w:p w14:paraId="25353362">
            <w:pPr>
              <w:spacing w:line="360" w:lineRule="auto"/>
              <w:jc w:val="both"/>
              <w:rPr>
                <w:rFonts w:hint="eastAsia"/>
              </w:rPr>
            </w:pPr>
          </w:p>
        </w:tc>
        <w:tc>
          <w:tcPr>
            <w:tcW w:w="432" w:type="pct"/>
          </w:tcPr>
          <w:p w14:paraId="6382C969">
            <w:pPr>
              <w:spacing w:line="360" w:lineRule="auto"/>
              <w:jc w:val="both"/>
              <w:rPr>
                <w:rFonts w:hint="eastAsia"/>
              </w:rPr>
            </w:pPr>
            <w:r>
              <w:rPr>
                <w:rFonts w:hint="eastAsia"/>
              </w:rPr>
              <w:t>3</w:t>
            </w:r>
          </w:p>
        </w:tc>
        <w:tc>
          <w:tcPr>
            <w:tcW w:w="899" w:type="pct"/>
            <w:vAlign w:val="center"/>
          </w:tcPr>
          <w:p w14:paraId="0DDB5C0D">
            <w:pPr>
              <w:spacing w:line="360" w:lineRule="auto"/>
              <w:jc w:val="both"/>
              <w:rPr>
                <w:rFonts w:hint="eastAsia"/>
              </w:rPr>
            </w:pPr>
            <w:r>
              <w:rPr>
                <w:rFonts w:hint="eastAsia"/>
              </w:rPr>
              <w:t>肝脏血管组智能分析软件</w:t>
            </w:r>
          </w:p>
        </w:tc>
        <w:tc>
          <w:tcPr>
            <w:tcW w:w="2308" w:type="pct"/>
            <w:vAlign w:val="center"/>
          </w:tcPr>
          <w:p w14:paraId="2F501182">
            <w:pPr>
              <w:pStyle w:val="40"/>
              <w:spacing w:before="60" w:after="60" w:line="360" w:lineRule="auto"/>
              <w:textAlignment w:val="baseline"/>
              <w:rPr>
                <w:rFonts w:hint="eastAsia" w:ascii="宋体" w:hAnsi="宋体"/>
                <w:b/>
                <w:bCs/>
                <w:kern w:val="0"/>
                <w:szCs w:val="24"/>
              </w:rPr>
            </w:pPr>
            <w:r>
              <w:rPr>
                <w:rFonts w:hint="eastAsia" w:ascii="宋体" w:hAnsi="宋体"/>
                <w:b/>
                <w:bCs/>
                <w:kern w:val="0"/>
                <w:szCs w:val="24"/>
              </w:rPr>
              <w:t>期相识别和配置：</w:t>
            </w:r>
          </w:p>
          <w:p w14:paraId="63A94889">
            <w:pPr>
              <w:pStyle w:val="40"/>
              <w:spacing w:before="60" w:after="60" w:line="360" w:lineRule="auto"/>
              <w:textAlignment w:val="baseline"/>
              <w:rPr>
                <w:rFonts w:hint="eastAsia" w:ascii="宋体" w:hAnsi="宋体"/>
                <w:kern w:val="0"/>
                <w:szCs w:val="24"/>
              </w:rPr>
            </w:pPr>
            <w:r>
              <w:rPr>
                <w:rFonts w:hint="eastAsia" w:ascii="宋体" w:hAnsi="宋体"/>
                <w:kern w:val="0"/>
                <w:szCs w:val="24"/>
              </w:rPr>
              <w:t>1. 支持自动识别扫描的各个期相，包括平扫、动脉期、门脉期、延迟期。</w:t>
            </w:r>
          </w:p>
          <w:p w14:paraId="59202796">
            <w:pPr>
              <w:spacing w:line="360" w:lineRule="auto"/>
              <w:jc w:val="both"/>
              <w:rPr>
                <w:rFonts w:hint="eastAsia"/>
              </w:rPr>
            </w:pPr>
            <w:r>
              <w:rPr>
                <w:rFonts w:hint="eastAsia"/>
              </w:rPr>
              <w:t>2. 支持各期相自动配准并进行联动阅片。</w:t>
            </w:r>
          </w:p>
          <w:p w14:paraId="54F96881">
            <w:pPr>
              <w:pStyle w:val="40"/>
              <w:spacing w:before="60" w:after="60" w:line="360" w:lineRule="auto"/>
              <w:textAlignment w:val="baseline"/>
              <w:rPr>
                <w:rFonts w:hint="eastAsia" w:ascii="宋体" w:hAnsi="宋体"/>
                <w:b/>
                <w:bCs/>
                <w:kern w:val="0"/>
                <w:szCs w:val="24"/>
              </w:rPr>
            </w:pPr>
            <w:r>
              <w:rPr>
                <w:rFonts w:hint="eastAsia" w:ascii="宋体" w:hAnsi="宋体"/>
                <w:b/>
                <w:bCs/>
                <w:kern w:val="0"/>
                <w:szCs w:val="24"/>
              </w:rPr>
              <w:t>肝脏智能三维重建：</w:t>
            </w:r>
          </w:p>
          <w:p w14:paraId="35BC6D83">
            <w:pPr>
              <w:pStyle w:val="40"/>
              <w:spacing w:before="60" w:after="60" w:line="360" w:lineRule="auto"/>
              <w:textAlignment w:val="baseline"/>
              <w:rPr>
                <w:rFonts w:hint="eastAsia" w:ascii="宋体" w:hAnsi="宋体"/>
                <w:kern w:val="0"/>
                <w:szCs w:val="24"/>
              </w:rPr>
            </w:pPr>
            <w:r>
              <w:rPr>
                <w:rFonts w:hint="eastAsia" w:ascii="宋体" w:hAnsi="宋体"/>
                <w:kern w:val="0"/>
                <w:szCs w:val="24"/>
              </w:rPr>
              <w:t>1. 支持高精度的腹部三维重建图像，可支持临床医生360°灵活交互式查看。</w:t>
            </w:r>
          </w:p>
          <w:p w14:paraId="18D9300B">
            <w:pPr>
              <w:pStyle w:val="40"/>
              <w:spacing w:before="60" w:after="60" w:line="360" w:lineRule="auto"/>
              <w:textAlignment w:val="baseline"/>
              <w:rPr>
                <w:rFonts w:hint="eastAsia" w:ascii="宋体" w:hAnsi="宋体"/>
                <w:kern w:val="0"/>
                <w:szCs w:val="24"/>
              </w:rPr>
            </w:pPr>
            <w:r>
              <w:rPr>
                <w:rFonts w:hint="eastAsia" w:ascii="宋体" w:hAnsi="宋体"/>
                <w:kern w:val="0"/>
                <w:szCs w:val="24"/>
              </w:rPr>
              <w:t>2. 支持自动提取腹部重要组织并显示在组织列表中，包括整肝/肝段、肝静脉、肝门静脉、肝动脉、下腔静脉。支持在病灶列表中选中病灶并在三维重建图像中查看。</w:t>
            </w:r>
          </w:p>
          <w:p w14:paraId="02AD837A">
            <w:pPr>
              <w:pStyle w:val="40"/>
              <w:spacing w:before="60" w:after="60" w:line="360" w:lineRule="auto"/>
              <w:textAlignment w:val="baseline"/>
              <w:rPr>
                <w:rFonts w:hint="eastAsia" w:ascii="宋体" w:hAnsi="宋体"/>
                <w:kern w:val="0"/>
                <w:szCs w:val="24"/>
              </w:rPr>
            </w:pPr>
            <w:r>
              <w:rPr>
                <w:rFonts w:hint="eastAsia" w:ascii="宋体" w:hAnsi="宋体"/>
                <w:kern w:val="0"/>
                <w:szCs w:val="24"/>
              </w:rPr>
              <w:t>3. 支持组织列表中每个组织的分别显示和隐藏，同时支持一键显示或隐藏全部组织。</w:t>
            </w:r>
          </w:p>
          <w:p w14:paraId="0FAFBDBE">
            <w:pPr>
              <w:pStyle w:val="40"/>
              <w:spacing w:before="60" w:after="60" w:line="360" w:lineRule="auto"/>
              <w:textAlignment w:val="baseline"/>
              <w:rPr>
                <w:rFonts w:hint="eastAsia" w:ascii="宋体" w:hAnsi="宋体"/>
                <w:kern w:val="0"/>
                <w:szCs w:val="24"/>
              </w:rPr>
            </w:pPr>
            <w:r>
              <w:rPr>
                <w:rFonts w:hint="eastAsia" w:ascii="宋体" w:hAnsi="宋体"/>
                <w:kern w:val="0"/>
                <w:szCs w:val="24"/>
              </w:rPr>
              <w:t>4. 支持基于门脉期自动重建MPR图像。</w:t>
            </w:r>
          </w:p>
          <w:p w14:paraId="15BEEDB4">
            <w:pPr>
              <w:pStyle w:val="40"/>
              <w:spacing w:before="60" w:after="60" w:line="360" w:lineRule="auto"/>
              <w:textAlignment w:val="baseline"/>
              <w:rPr>
                <w:rFonts w:hint="eastAsia" w:ascii="宋体" w:hAnsi="宋体"/>
                <w:kern w:val="0"/>
                <w:szCs w:val="24"/>
              </w:rPr>
            </w:pPr>
            <w:r>
              <w:rPr>
                <w:rFonts w:hint="eastAsia" w:ascii="宋体" w:hAnsi="宋体"/>
                <w:kern w:val="0"/>
                <w:szCs w:val="24"/>
              </w:rPr>
              <w:t>5. 支持与二维图像联动显示，同时观察三维图像并查看原始图像上对应的影像信息。</w:t>
            </w:r>
          </w:p>
          <w:p w14:paraId="055512BF">
            <w:pPr>
              <w:pStyle w:val="40"/>
              <w:spacing w:before="60" w:after="60" w:line="360" w:lineRule="auto"/>
              <w:textAlignment w:val="baseline"/>
              <w:rPr>
                <w:rFonts w:hint="eastAsia" w:ascii="宋体" w:hAnsi="宋体"/>
                <w:kern w:val="0"/>
                <w:szCs w:val="24"/>
              </w:rPr>
            </w:pPr>
            <w:r>
              <w:rPr>
                <w:rFonts w:hint="eastAsia" w:ascii="宋体" w:hAnsi="宋体"/>
                <w:kern w:val="0"/>
                <w:szCs w:val="24"/>
              </w:rPr>
              <w:t>6. 支持在MPR图像中显示病灶检测框或病灶分割轮廓。</w:t>
            </w:r>
          </w:p>
          <w:p w14:paraId="1214E3EA">
            <w:pPr>
              <w:pStyle w:val="40"/>
              <w:spacing w:before="60" w:after="60" w:line="360" w:lineRule="auto"/>
              <w:textAlignment w:val="baseline"/>
              <w:rPr>
                <w:rFonts w:hint="eastAsia" w:ascii="宋体" w:hAnsi="宋体"/>
                <w:kern w:val="0"/>
                <w:szCs w:val="24"/>
              </w:rPr>
            </w:pPr>
            <w:r>
              <w:rPr>
                <w:rFonts w:hint="eastAsia" w:ascii="宋体" w:hAnsi="宋体"/>
                <w:kern w:val="0"/>
                <w:szCs w:val="24"/>
              </w:rPr>
              <w:t>7. 根据组织列表中的组织显隐，在MPR图像中显示整肝/肝段、肝静脉、肝门静脉、肝动脉、下腔静脉的mask。</w:t>
            </w:r>
          </w:p>
          <w:p w14:paraId="6202A098">
            <w:pPr>
              <w:pStyle w:val="40"/>
              <w:spacing w:before="60" w:after="60" w:line="360" w:lineRule="auto"/>
              <w:textAlignment w:val="baseline"/>
              <w:rPr>
                <w:rFonts w:hint="eastAsia" w:ascii="宋体" w:hAnsi="宋体"/>
                <w:kern w:val="0"/>
                <w:szCs w:val="24"/>
              </w:rPr>
            </w:pPr>
            <w:r>
              <w:rPr>
                <w:rFonts w:hint="eastAsia" w:ascii="宋体" w:hAnsi="宋体"/>
                <w:kern w:val="0"/>
                <w:szCs w:val="24"/>
              </w:rPr>
              <w:t>8. 支持三维重建图像的播放。按照当前视角自动旋转播放三维图像。</w:t>
            </w:r>
          </w:p>
          <w:p w14:paraId="4A7B984D">
            <w:pPr>
              <w:spacing w:line="360" w:lineRule="auto"/>
              <w:jc w:val="both"/>
              <w:rPr>
                <w:rFonts w:hint="eastAsia"/>
              </w:rPr>
            </w:pPr>
            <w:r>
              <w:rPr>
                <w:rFonts w:hint="eastAsia"/>
              </w:rPr>
              <w:t>9. 支持肝脏体积信息的自动计算和显示，包括肝脏体积、功能肝体积、所选肝段、所选肝段体积、未选肝段体积。</w:t>
            </w:r>
          </w:p>
          <w:p w14:paraId="7FB06EB9">
            <w:pPr>
              <w:pStyle w:val="40"/>
              <w:spacing w:before="60" w:after="60" w:line="360" w:lineRule="auto"/>
              <w:textAlignment w:val="baseline"/>
              <w:rPr>
                <w:rFonts w:hint="eastAsia" w:ascii="宋体" w:hAnsi="宋体"/>
                <w:b/>
                <w:bCs/>
                <w:kern w:val="0"/>
                <w:szCs w:val="24"/>
              </w:rPr>
            </w:pPr>
            <w:r>
              <w:rPr>
                <w:rFonts w:hint="eastAsia" w:ascii="宋体" w:hAnsi="宋体"/>
                <w:b/>
                <w:bCs/>
                <w:kern w:val="0"/>
                <w:szCs w:val="24"/>
              </w:rPr>
              <w:t>肝脏血管组智能分析：</w:t>
            </w:r>
          </w:p>
          <w:p w14:paraId="1E204596">
            <w:pPr>
              <w:pStyle w:val="40"/>
              <w:spacing w:before="60" w:after="60" w:line="360" w:lineRule="auto"/>
              <w:textAlignment w:val="baseline"/>
              <w:rPr>
                <w:rFonts w:hint="eastAsia" w:ascii="宋体" w:hAnsi="宋体"/>
                <w:kern w:val="0"/>
                <w:szCs w:val="24"/>
              </w:rPr>
            </w:pPr>
            <w:r>
              <w:rPr>
                <w:rFonts w:hint="eastAsia" w:ascii="宋体" w:hAnsi="宋体"/>
                <w:kern w:val="0"/>
                <w:szCs w:val="24"/>
              </w:rPr>
              <w:t>1. 支持慢性肝病患者增强CT智能分析，自动进行数据预处理、血管分割和血管树构建，对门静脉、肝静脉、主动脉和下腔静脉血管自动进行AI三维分割重建分析。</w:t>
            </w:r>
          </w:p>
          <w:p w14:paraId="553089E9">
            <w:pPr>
              <w:pStyle w:val="40"/>
              <w:spacing w:before="60" w:after="60" w:line="360" w:lineRule="auto"/>
              <w:textAlignment w:val="baseline"/>
              <w:rPr>
                <w:rFonts w:hint="eastAsia" w:ascii="宋体" w:hAnsi="宋体"/>
                <w:kern w:val="0"/>
                <w:szCs w:val="24"/>
              </w:rPr>
            </w:pPr>
            <w:r>
              <w:rPr>
                <w:rFonts w:hint="eastAsia" w:ascii="宋体" w:hAnsi="宋体"/>
                <w:kern w:val="0"/>
                <w:szCs w:val="24"/>
              </w:rPr>
              <w:t>2. 支持基于血管三维分析，自动提取血管几何参数。</w:t>
            </w:r>
          </w:p>
          <w:p w14:paraId="3F6ACCF7">
            <w:pPr>
              <w:pStyle w:val="40"/>
              <w:spacing w:before="60" w:after="60" w:line="360" w:lineRule="auto"/>
              <w:textAlignment w:val="baseline"/>
              <w:rPr>
                <w:rFonts w:hint="eastAsia" w:ascii="宋体" w:hAnsi="宋体"/>
                <w:kern w:val="0"/>
                <w:szCs w:val="24"/>
              </w:rPr>
            </w:pPr>
            <w:r>
              <w:rPr>
                <w:rFonts w:hint="eastAsia" w:ascii="宋体" w:hAnsi="宋体"/>
                <w:kern w:val="0"/>
                <w:szCs w:val="24"/>
              </w:rPr>
              <w:t>3. 支持血管几何参数一键导出excel表格。</w:t>
            </w:r>
          </w:p>
          <w:p w14:paraId="5304E484">
            <w:pPr>
              <w:spacing w:line="360" w:lineRule="auto"/>
              <w:jc w:val="both"/>
              <w:rPr>
                <w:rFonts w:hint="eastAsia"/>
              </w:rPr>
            </w:pPr>
            <w:r>
              <w:rPr>
                <w:rFonts w:hint="eastAsia"/>
              </w:rPr>
              <w:t>4.支持利用血管几何参数使用公式法评估门脉高压患者的再出血风险，提示风险值。</w:t>
            </w:r>
          </w:p>
        </w:tc>
        <w:tc>
          <w:tcPr>
            <w:tcW w:w="595" w:type="pct"/>
            <w:vAlign w:val="center"/>
          </w:tcPr>
          <w:p w14:paraId="6B1F3CC3">
            <w:pPr>
              <w:spacing w:line="360" w:lineRule="auto"/>
              <w:jc w:val="both"/>
              <w:rPr>
                <w:rFonts w:hint="eastAsia"/>
              </w:rPr>
            </w:pPr>
            <w:r>
              <w:rPr>
                <w:rFonts w:hint="eastAsia"/>
              </w:rPr>
              <w:t>1套</w:t>
            </w:r>
          </w:p>
        </w:tc>
      </w:tr>
    </w:tbl>
    <w:p w14:paraId="687B3A03">
      <w:pPr>
        <w:numPr>
          <w:numId w:val="0"/>
        </w:numPr>
        <w:spacing w:line="360" w:lineRule="auto"/>
        <w:rPr>
          <w:rFonts w:hint="default"/>
          <w:b/>
          <w:bCs/>
          <w:sz w:val="28"/>
          <w:szCs w:val="28"/>
          <w:lang w:val="en-US" w:eastAsia="zh-CN"/>
        </w:rPr>
      </w:pPr>
      <w:bookmarkStart w:id="0" w:name="_GoBack"/>
      <w:bookmarkEnd w:id="0"/>
    </w:p>
    <w:p w14:paraId="5F2DC2F2">
      <w:pPr>
        <w:spacing w:line="360" w:lineRule="auto"/>
        <w:rPr>
          <w:sz w:val="28"/>
          <w:szCs w:val="28"/>
        </w:rPr>
      </w:pPr>
      <w:r>
        <w:rPr>
          <w:rFonts w:hint="eastAsia"/>
          <w:b/>
          <w:bCs/>
          <w:sz w:val="28"/>
          <w:szCs w:val="28"/>
        </w:rPr>
        <w:t>三、其他要求</w:t>
      </w:r>
    </w:p>
    <w:p w14:paraId="2F4CA90C">
      <w:pPr>
        <w:spacing w:line="360" w:lineRule="auto"/>
        <w:rPr>
          <w:sz w:val="28"/>
          <w:szCs w:val="28"/>
        </w:rPr>
      </w:pPr>
      <w:r>
        <w:rPr>
          <w:rFonts w:hint="eastAsia"/>
          <w:sz w:val="28"/>
          <w:szCs w:val="28"/>
        </w:rPr>
        <w:t>1、本项目实施主要包含：硬件设备上架、软硬件安装调试、系统集成工作；</w:t>
      </w:r>
    </w:p>
    <w:p w14:paraId="799CA3AA">
      <w:pPr>
        <w:spacing w:line="360" w:lineRule="auto"/>
        <w:rPr>
          <w:sz w:val="28"/>
          <w:szCs w:val="28"/>
        </w:rPr>
      </w:pPr>
      <w:r>
        <w:rPr>
          <w:rFonts w:hint="eastAsia"/>
          <w:sz w:val="28"/>
          <w:szCs w:val="28"/>
        </w:rPr>
        <w:t>2、本预算价包含设备价格、实施费用（含相关光纤辅材，机柜整理及设备接地服务）、集成费用及约定保修期内的维修及服务费用等，本预算价为含税开票价格。</w:t>
      </w:r>
    </w:p>
    <w:p w14:paraId="04F3180B">
      <w:pPr>
        <w:numPr>
          <w:numId w:val="0"/>
        </w:numPr>
        <w:spacing w:line="360" w:lineRule="auto"/>
        <w:rPr>
          <w:rFonts w:hint="default"/>
          <w:b/>
          <w:bCs/>
          <w:sz w:val="28"/>
          <w:szCs w:val="28"/>
          <w:lang w:val="en-US" w:eastAsia="zh-CN"/>
        </w:rPr>
        <w:sectPr>
          <w:pgSz w:w="11906" w:h="16838"/>
          <w:pgMar w:top="1440" w:right="1800" w:bottom="1440" w:left="1800" w:header="851" w:footer="992" w:gutter="0"/>
          <w:cols w:space="425" w:num="1"/>
          <w:docGrid w:type="lines" w:linePitch="312" w:charSpace="0"/>
        </w:sectPr>
      </w:pPr>
    </w:p>
    <w:p w14:paraId="13C40D03">
      <w:pPr>
        <w:spacing w:line="360" w:lineRule="auto"/>
        <w:rPr>
          <w:sz w:val="28"/>
          <w:szCs w:val="28"/>
        </w:rPr>
      </w:pPr>
      <w:r>
        <w:rPr>
          <w:rFonts w:hint="eastAsia"/>
          <w:b/>
          <w:bCs/>
          <w:sz w:val="28"/>
          <w:szCs w:val="28"/>
          <w:lang w:eastAsia="zh-CN"/>
        </w:rPr>
        <w:t>四</w:t>
      </w:r>
      <w:r>
        <w:rPr>
          <w:rFonts w:hint="eastAsia"/>
          <w:b/>
          <w:bCs/>
          <w:sz w:val="28"/>
          <w:szCs w:val="28"/>
        </w:rPr>
        <w:t>、调研说明</w:t>
      </w:r>
    </w:p>
    <w:p w14:paraId="6333DA05">
      <w:pPr>
        <w:spacing w:line="360" w:lineRule="auto"/>
        <w:rPr>
          <w:sz w:val="28"/>
          <w:szCs w:val="28"/>
        </w:rPr>
      </w:pPr>
      <w:r>
        <w:rPr>
          <w:rFonts w:hint="eastAsia"/>
          <w:sz w:val="28"/>
          <w:szCs w:val="28"/>
        </w:rPr>
        <w:t>报名参加本次调研的供应商、厂家需提供如下相关资料。</w:t>
      </w:r>
    </w:p>
    <w:p w14:paraId="694DB26D">
      <w:pPr>
        <w:numPr>
          <w:ilvl w:val="0"/>
          <w:numId w:val="2"/>
        </w:numPr>
        <w:spacing w:line="360" w:lineRule="auto"/>
        <w:rPr>
          <w:rFonts w:hint="eastAsia"/>
          <w:sz w:val="28"/>
          <w:szCs w:val="28"/>
        </w:rPr>
      </w:pPr>
      <w:r>
        <w:rPr>
          <w:rFonts w:hint="eastAsia"/>
          <w:sz w:val="28"/>
          <w:szCs w:val="28"/>
        </w:rPr>
        <w:t>报名时请携带加盖公章的项目文件回执单、营业执照复印件、公司简介（可含提供设备彩页等）</w:t>
      </w:r>
      <w:r>
        <w:rPr>
          <w:rFonts w:hint="eastAsia"/>
          <w:sz w:val="28"/>
          <w:szCs w:val="28"/>
          <w:lang w:eastAsia="zh-CN"/>
        </w:rPr>
        <w:t>、</w:t>
      </w:r>
      <w:r>
        <w:rPr>
          <w:rFonts w:hint="eastAsia"/>
          <w:sz w:val="28"/>
          <w:szCs w:val="28"/>
        </w:rPr>
        <w:t>参与人员授权等相关授权、报名联系人近半年医社保证明（需同一界面同时显示人员和公司名称）。</w:t>
      </w:r>
    </w:p>
    <w:p w14:paraId="5F28E6DC">
      <w:pPr>
        <w:numPr>
          <w:ilvl w:val="0"/>
          <w:numId w:val="2"/>
        </w:numPr>
        <w:spacing w:line="360" w:lineRule="auto"/>
        <w:rPr>
          <w:rFonts w:hint="eastAsia"/>
          <w:sz w:val="28"/>
          <w:szCs w:val="28"/>
        </w:rPr>
      </w:pPr>
      <w:r>
        <w:rPr>
          <w:rFonts w:hint="eastAsia"/>
          <w:sz w:val="28"/>
          <w:szCs w:val="28"/>
          <w:lang w:val="en-US" w:eastAsia="zh-CN"/>
        </w:rPr>
        <w:t>需求调研</w:t>
      </w:r>
      <w:r>
        <w:rPr>
          <w:rFonts w:hint="eastAsia"/>
          <w:sz w:val="28"/>
          <w:szCs w:val="28"/>
        </w:rPr>
        <w:t>会时提交相关材料纸质胶装1正</w:t>
      </w:r>
      <w:r>
        <w:rPr>
          <w:rFonts w:hint="eastAsia"/>
          <w:sz w:val="28"/>
          <w:szCs w:val="28"/>
          <w:lang w:val="en-US" w:eastAsia="zh-CN"/>
        </w:rPr>
        <w:t>3</w:t>
      </w:r>
      <w:r>
        <w:rPr>
          <w:rFonts w:hint="eastAsia"/>
          <w:sz w:val="28"/>
          <w:szCs w:val="28"/>
        </w:rPr>
        <w:t>副。内容包含但不限于：报名文件所含内容及以下所提及内容</w:t>
      </w:r>
      <w:r>
        <w:rPr>
          <w:rFonts w:hint="eastAsia"/>
          <w:sz w:val="28"/>
          <w:szCs w:val="28"/>
          <w:lang w:eastAsia="zh-CN"/>
        </w:rPr>
        <w:t>。</w:t>
      </w:r>
    </w:p>
    <w:p w14:paraId="44D0CCFA">
      <w:pPr>
        <w:spacing w:line="360" w:lineRule="auto"/>
        <w:ind w:firstLine="280" w:firstLineChars="100"/>
        <w:rPr>
          <w:rFonts w:hint="eastAsia"/>
          <w:sz w:val="28"/>
          <w:szCs w:val="28"/>
        </w:rPr>
      </w:pPr>
      <w:r>
        <w:rPr>
          <w:rFonts w:hint="eastAsia"/>
          <w:sz w:val="28"/>
          <w:szCs w:val="28"/>
          <w:lang w:val="en-US" w:eastAsia="zh-CN"/>
        </w:rPr>
        <w:t>2.1</w:t>
      </w:r>
      <w:r>
        <w:rPr>
          <w:rFonts w:hint="eastAsia"/>
          <w:sz w:val="28"/>
          <w:szCs w:val="28"/>
        </w:rPr>
        <w:t>、分别提供“信用中国”网站（www.creditchina.gov.cn）、“中国政府采购网”网站（http://www.ccgp.gov.cn/search/cr/）信用记录查询截图，无不良记录并加盖公章（截图查询日期必须在该公告日期内）。</w:t>
      </w:r>
    </w:p>
    <w:p w14:paraId="248F132B">
      <w:pPr>
        <w:spacing w:line="360" w:lineRule="auto"/>
        <w:ind w:firstLine="280" w:firstLineChars="100"/>
        <w:rPr>
          <w:sz w:val="28"/>
          <w:szCs w:val="28"/>
        </w:rPr>
      </w:pPr>
      <w:r>
        <w:rPr>
          <w:rFonts w:hint="eastAsia"/>
          <w:sz w:val="28"/>
          <w:szCs w:val="28"/>
          <w:lang w:val="en-US" w:eastAsia="zh-CN"/>
        </w:rPr>
        <w:t>2.2</w:t>
      </w:r>
      <w:r>
        <w:rPr>
          <w:rFonts w:hint="eastAsia"/>
          <w:sz w:val="28"/>
          <w:szCs w:val="28"/>
        </w:rPr>
        <w:t>、提供业绩清单及近3年省内同类项目中标案例；</w:t>
      </w:r>
    </w:p>
    <w:p w14:paraId="1FDF21FA">
      <w:pPr>
        <w:spacing w:line="360" w:lineRule="auto"/>
        <w:rPr>
          <w:sz w:val="28"/>
          <w:szCs w:val="28"/>
        </w:rPr>
      </w:pPr>
      <w:r>
        <w:rPr>
          <w:rFonts w:hint="eastAsia"/>
          <w:sz w:val="28"/>
          <w:szCs w:val="28"/>
          <w:lang w:val="en-US" w:eastAsia="zh-CN"/>
        </w:rPr>
        <w:t>3</w:t>
      </w:r>
      <w:r>
        <w:rPr>
          <w:rFonts w:hint="eastAsia"/>
          <w:sz w:val="28"/>
          <w:szCs w:val="28"/>
        </w:rPr>
        <w:t>、本调研会的报价仅做为本项目公开招标的预算限价；不做参与投标的限制条件；</w:t>
      </w:r>
    </w:p>
    <w:p w14:paraId="4E2746FD">
      <w:pPr>
        <w:spacing w:line="360" w:lineRule="auto"/>
        <w:rPr>
          <w:sz w:val="28"/>
          <w:szCs w:val="28"/>
        </w:rPr>
      </w:pPr>
      <w:r>
        <w:rPr>
          <w:rFonts w:hint="eastAsia"/>
          <w:sz w:val="28"/>
          <w:szCs w:val="28"/>
          <w:lang w:val="en-US" w:eastAsia="zh-CN"/>
        </w:rPr>
        <w:t>4</w:t>
      </w:r>
      <w:r>
        <w:rPr>
          <w:rFonts w:hint="eastAsia"/>
          <w:sz w:val="28"/>
          <w:szCs w:val="28"/>
        </w:rPr>
        <w:t>、上述各参数将做为本项目招标的主要参数，不代表本项目公开招标的最终参数；</w:t>
      </w:r>
    </w:p>
    <w:p w14:paraId="53DB4993">
      <w:pPr>
        <w:spacing w:line="360" w:lineRule="auto"/>
        <w:rPr>
          <w:rFonts w:hint="eastAsia"/>
          <w:sz w:val="28"/>
          <w:szCs w:val="28"/>
        </w:rPr>
        <w:sectPr>
          <w:pgSz w:w="11906" w:h="16838"/>
          <w:pgMar w:top="1440" w:right="1800" w:bottom="1440" w:left="1800" w:header="851" w:footer="992" w:gutter="0"/>
          <w:cols w:space="425" w:num="1"/>
          <w:docGrid w:type="lines" w:linePitch="312" w:charSpace="0"/>
        </w:sectPr>
      </w:pPr>
      <w:r>
        <w:rPr>
          <w:rFonts w:hint="eastAsia"/>
          <w:sz w:val="28"/>
          <w:szCs w:val="28"/>
          <w:lang w:val="en-US" w:eastAsia="zh-CN"/>
        </w:rPr>
        <w:t>5</w:t>
      </w:r>
      <w:r>
        <w:rPr>
          <w:rFonts w:hint="eastAsia"/>
          <w:sz w:val="28"/>
          <w:szCs w:val="28"/>
        </w:rPr>
        <w:t>、参加调研会的公司应准备PPT材料（含方案介绍、服务及集成能力、应用案例、报价等）、技术参数等材料，每公司讲解时间30分钟内（含答疑10分钟）；同时上述材料须交予院方留档（发送邮件到wlb@fjzlhospital.com，并提供U盘留档）。</w:t>
      </w:r>
    </w:p>
    <w:p w14:paraId="6C49C88A">
      <w:pPr>
        <w:widowControl w:val="0"/>
        <w:shd w:val="solid" w:color="FFFFFF" w:fill="auto"/>
        <w:autoSpaceDN w:val="0"/>
        <w:spacing w:after="0" w:line="360" w:lineRule="auto"/>
        <w:jc w:val="center"/>
        <w:rPr>
          <w:rFonts w:hint="eastAsia" w:ascii="仿宋_GB2312" w:hAnsi="仿宋_GB2312" w:eastAsia="仿宋_GB2312" w:cs="仿宋_GB2312"/>
          <w:b/>
          <w:kern w:val="2"/>
          <w:sz w:val="32"/>
          <w:szCs w:val="32"/>
          <w:shd w:val="clear" w:color="auto" w:fill="FFFFFF"/>
        </w:rPr>
      </w:pPr>
      <w:r>
        <w:rPr>
          <w:rFonts w:hint="eastAsia" w:ascii="仿宋_GB2312" w:hAnsi="仿宋_GB2312" w:eastAsia="仿宋_GB2312" w:cs="仿宋_GB2312"/>
          <w:b/>
          <w:color w:val="000000"/>
          <w:kern w:val="2"/>
          <w:sz w:val="32"/>
          <w:szCs w:val="32"/>
          <w:shd w:val="clear" w:color="auto" w:fill="FFFFFF"/>
        </w:rPr>
        <w:t>项目文件回执单</w:t>
      </w:r>
    </w:p>
    <w:p w14:paraId="659F567C">
      <w:pPr>
        <w:widowControl w:val="0"/>
        <w:shd w:val="solid" w:color="FFFFFF" w:fill="auto"/>
        <w:autoSpaceDN w:val="0"/>
        <w:spacing w:after="0" w:line="360" w:lineRule="auto"/>
        <w:ind w:firstLine="640" w:firstLineChars="200"/>
        <w:jc w:val="both"/>
        <w:rPr>
          <w:rFonts w:hint="eastAsia" w:ascii="仿宋_GB2312" w:hAnsi="仿宋_GB2312" w:eastAsia="仿宋_GB2312" w:cs="仿宋_GB2312"/>
          <w:bCs/>
          <w:kern w:val="2"/>
          <w:sz w:val="32"/>
          <w:szCs w:val="32"/>
        </w:rPr>
      </w:pPr>
      <w:r>
        <w:rPr>
          <w:rFonts w:hint="eastAsia" w:ascii="仿宋_GB2312" w:hAnsi="仿宋_GB2312" w:eastAsia="仿宋_GB2312" w:cs="仿宋_GB2312"/>
          <w:bCs/>
          <w:kern w:val="2"/>
          <w:sz w:val="32"/>
          <w:szCs w:val="32"/>
          <w:shd w:val="clear" w:color="auto" w:fill="FFFFFF"/>
        </w:rPr>
        <w:t>请有意向参与的公司在项目公示期内携带回执单至福建省肿瘤医院网络技术中心报名。</w:t>
      </w:r>
    </w:p>
    <w:tbl>
      <w:tblPr>
        <w:tblStyle w:val="16"/>
        <w:tblW w:w="8154" w:type="dxa"/>
        <w:tblInd w:w="358"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1140"/>
        <w:gridCol w:w="2651"/>
        <w:gridCol w:w="2115"/>
        <w:gridCol w:w="2248"/>
      </w:tblGrid>
      <w:tr w14:paraId="112767F5">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504" w:hRule="exact"/>
        </w:trPr>
        <w:tc>
          <w:tcPr>
            <w:tcW w:w="1140" w:type="dxa"/>
            <w:tcBorders>
              <w:top w:val="single" w:color="000000" w:sz="8" w:space="0"/>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CC5B2BB">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序号</w:t>
            </w:r>
          </w:p>
        </w:tc>
        <w:tc>
          <w:tcPr>
            <w:tcW w:w="2651"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766880D">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项目名称</w:t>
            </w:r>
          </w:p>
        </w:tc>
        <w:tc>
          <w:tcPr>
            <w:tcW w:w="2115"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37E2593">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数量</w:t>
            </w:r>
          </w:p>
        </w:tc>
        <w:tc>
          <w:tcPr>
            <w:tcW w:w="2248" w:type="dxa"/>
            <w:tcBorders>
              <w:top w:val="single" w:color="000000" w:sz="8" w:space="0"/>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497463D9">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品牌及型号</w:t>
            </w:r>
          </w:p>
        </w:tc>
      </w:tr>
      <w:tr w14:paraId="0A105A6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2FCBD99A">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1</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A67BA3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3860B96F">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71B6BA27">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r w14:paraId="786A369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54" w:hRule="exact"/>
        </w:trPr>
        <w:tc>
          <w:tcPr>
            <w:tcW w:w="1140" w:type="dxa"/>
            <w:tcBorders>
              <w:top w:val="nil"/>
              <w:left w:val="single" w:color="000000" w:sz="8" w:space="0"/>
              <w:bottom w:val="single" w:color="000000" w:sz="8" w:space="0"/>
              <w:right w:val="single" w:color="000000" w:sz="8" w:space="0"/>
            </w:tcBorders>
            <w:shd w:val="solid" w:color="FFFFFF" w:fill="auto"/>
            <w:tcMar>
              <w:top w:w="0" w:type="dxa"/>
              <w:left w:w="108" w:type="dxa"/>
              <w:bottom w:w="0" w:type="dxa"/>
              <w:right w:w="108" w:type="dxa"/>
            </w:tcMar>
            <w:vAlign w:val="center"/>
          </w:tcPr>
          <w:p w14:paraId="30694BE2">
            <w:pPr>
              <w:widowControl w:val="0"/>
              <w:shd w:val="solid" w:color="FFFFFF" w:fill="auto"/>
              <w:autoSpaceDN w:val="0"/>
              <w:spacing w:after="0" w:line="360" w:lineRule="auto"/>
              <w:jc w:val="center"/>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2</w:t>
            </w:r>
          </w:p>
        </w:tc>
        <w:tc>
          <w:tcPr>
            <w:tcW w:w="2651"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290D97E">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115"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19F4A00D">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r>
              <w:rPr>
                <w:rFonts w:hint="eastAsia" w:ascii="仿宋_GB2312" w:hAnsi="仿宋_GB2312" w:eastAsia="仿宋_GB2312" w:cs="仿宋_GB2312"/>
                <w:bCs/>
                <w:kern w:val="2"/>
                <w:sz w:val="28"/>
                <w:szCs w:val="28"/>
                <w:shd w:val="clear" w:color="auto" w:fill="FFFFFF"/>
              </w:rPr>
              <w:t xml:space="preserve"> </w:t>
            </w:r>
          </w:p>
        </w:tc>
        <w:tc>
          <w:tcPr>
            <w:tcW w:w="2248" w:type="dxa"/>
            <w:tcBorders>
              <w:top w:val="nil"/>
              <w:left w:val="nil"/>
              <w:bottom w:val="single" w:color="000000" w:sz="8" w:space="0"/>
              <w:right w:val="single" w:color="000000" w:sz="8" w:space="0"/>
            </w:tcBorders>
            <w:shd w:val="solid" w:color="FFFFFF" w:fill="auto"/>
            <w:tcMar>
              <w:top w:w="0" w:type="dxa"/>
              <w:left w:w="108" w:type="dxa"/>
              <w:bottom w:w="0" w:type="dxa"/>
              <w:right w:w="108" w:type="dxa"/>
            </w:tcMar>
            <w:vAlign w:val="center"/>
          </w:tcPr>
          <w:p w14:paraId="58ACCE11">
            <w:pPr>
              <w:widowControl w:val="0"/>
              <w:shd w:val="solid" w:color="FFFFFF" w:fill="auto"/>
              <w:autoSpaceDN w:val="0"/>
              <w:spacing w:after="0" w:line="360" w:lineRule="auto"/>
              <w:jc w:val="both"/>
              <w:rPr>
                <w:rFonts w:hint="eastAsia" w:ascii="仿宋_GB2312" w:hAnsi="仿宋_GB2312" w:eastAsia="仿宋_GB2312" w:cs="仿宋_GB2312"/>
                <w:bCs/>
                <w:kern w:val="2"/>
                <w:sz w:val="28"/>
                <w:szCs w:val="28"/>
                <w:shd w:val="clear" w:color="auto" w:fill="FFFFFF"/>
              </w:rPr>
            </w:pPr>
          </w:p>
        </w:tc>
      </w:tr>
    </w:tbl>
    <w:p w14:paraId="1DBE4070">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26BAD80A">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68FEB8D1">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公司名称：</w:t>
      </w:r>
    </w:p>
    <w:p w14:paraId="0F052B2E">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 xml:space="preserve">联系人：　 </w:t>
      </w:r>
    </w:p>
    <w:p w14:paraId="545643D9">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联系电话：</w:t>
      </w:r>
    </w:p>
    <w:p w14:paraId="0C75C842">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r>
        <w:rPr>
          <w:rFonts w:hint="eastAsia" w:ascii="仿宋_GB2312" w:hAnsi="仿宋_GB2312" w:eastAsia="仿宋_GB2312" w:cs="仿宋_GB2312"/>
          <w:bCs/>
          <w:kern w:val="2"/>
          <w:sz w:val="32"/>
          <w:szCs w:val="32"/>
          <w:shd w:val="clear" w:color="auto" w:fill="FFFFFF"/>
        </w:rPr>
        <w:t>公司盖章：</w:t>
      </w:r>
    </w:p>
    <w:p w14:paraId="1D903916">
      <w:pPr>
        <w:widowControl w:val="0"/>
        <w:shd w:val="solid" w:color="FFFFFF" w:fill="auto"/>
        <w:autoSpaceDN w:val="0"/>
        <w:spacing w:after="0" w:line="360" w:lineRule="auto"/>
        <w:jc w:val="both"/>
        <w:rPr>
          <w:rFonts w:hint="eastAsia" w:ascii="仿宋_GB2312" w:hAnsi="仿宋_GB2312" w:eastAsia="仿宋_GB2312" w:cs="仿宋_GB2312"/>
          <w:bCs/>
          <w:kern w:val="2"/>
          <w:sz w:val="32"/>
          <w:szCs w:val="32"/>
          <w:shd w:val="clear" w:color="auto" w:fill="FFFFFF"/>
        </w:rPr>
      </w:pPr>
    </w:p>
    <w:p w14:paraId="40EAC1CE">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bCs/>
          <w:kern w:val="28"/>
          <w:sz w:val="32"/>
          <w:szCs w:val="32"/>
          <w:shd w:val="clear" w:color="auto" w:fill="FFFFFF"/>
          <w:lang w:val="en-US" w:eastAsia="zh-CN" w:bidi="ar-SA"/>
        </w:rPr>
      </w:pPr>
    </w:p>
    <w:p w14:paraId="0919DA40">
      <w:pPr>
        <w:widowControl w:val="0"/>
        <w:overflowPunct w:val="0"/>
        <w:autoSpaceDE w:val="0"/>
        <w:autoSpaceDN w:val="0"/>
        <w:adjustRightInd w:val="0"/>
        <w:spacing w:after="0" w:line="360" w:lineRule="auto"/>
        <w:jc w:val="both"/>
        <w:textAlignment w:val="baseline"/>
        <w:rPr>
          <w:rFonts w:hint="eastAsia" w:ascii="仿宋_GB2312" w:hAnsi="仿宋_GB2312" w:eastAsia="仿宋_GB2312" w:cs="仿宋_GB2312"/>
          <w:kern w:val="28"/>
          <w:sz w:val="32"/>
          <w:szCs w:val="32"/>
          <w:lang w:val="en-US" w:eastAsia="zh-CN" w:bidi="ar-SA"/>
        </w:rPr>
      </w:pPr>
      <w:r>
        <w:rPr>
          <w:rFonts w:hint="eastAsia" w:ascii="仿宋_GB2312" w:hAnsi="仿宋_GB2312" w:eastAsia="仿宋_GB2312" w:cs="仿宋_GB2312"/>
          <w:kern w:val="28"/>
          <w:sz w:val="32"/>
          <w:szCs w:val="32"/>
          <w:lang w:val="en-US" w:eastAsia="zh-CN" w:bidi="ar-SA"/>
        </w:rPr>
        <w:t xml:space="preserve">                                     福建省肿瘤医院</w:t>
      </w:r>
    </w:p>
    <w:p w14:paraId="529A0EE8">
      <w:pPr>
        <w:widowControl w:val="0"/>
        <w:overflowPunct w:val="0"/>
        <w:autoSpaceDE w:val="0"/>
        <w:autoSpaceDN w:val="0"/>
        <w:adjustRightInd w:val="0"/>
        <w:spacing w:after="0" w:line="360" w:lineRule="auto"/>
        <w:jc w:val="both"/>
        <w:textAlignment w:val="baseline"/>
        <w:rPr>
          <w:rFonts w:hint="eastAsia"/>
          <w:sz w:val="28"/>
          <w:szCs w:val="28"/>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kern w:val="28"/>
          <w:sz w:val="32"/>
          <w:szCs w:val="32"/>
          <w:lang w:val="en-US" w:eastAsia="zh-CN" w:bidi="ar-SA"/>
        </w:rPr>
        <w:t xml:space="preserve">                                        年  月  日</w:t>
      </w:r>
    </w:p>
    <w:p w14:paraId="276A26FE">
      <w:pPr>
        <w:spacing w:line="240" w:lineRule="auto"/>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方正书宋_GBK">
    <w:panose1 w:val="02000000000000000000"/>
    <w:charset w:val="86"/>
    <w:family w:val="auto"/>
    <w:pitch w:val="default"/>
    <w:sig w:usb0="00000001" w:usb1="08000000" w:usb2="00000000" w:usb3="00000000" w:csb0="00040000" w:csb1="00000000"/>
  </w:font>
  <w:font w:name="等线">
    <w:altName w:val="汉仪中宋简"/>
    <w:panose1 w:val="02010600030101010101"/>
    <w:charset w:val="86"/>
    <w:family w:val="auto"/>
    <w:pitch w:val="default"/>
    <w:sig w:usb0="00000000" w:usb1="00000000" w:usb2="00000016" w:usb3="00000000" w:csb0="0004000F" w:csb1="00000000"/>
  </w:font>
  <w:font w:name="汉仪中宋简">
    <w:panose1 w:val="02010600000101010101"/>
    <w:charset w:val="86"/>
    <w:family w:val="auto"/>
    <w:pitch w:val="default"/>
    <w:sig w:usb0="00000001" w:usb1="080E0800" w:usb2="00000002" w:usb3="00000000" w:csb0="00040000" w:csb1="00000000"/>
  </w:font>
  <w:font w:name="等线">
    <w:altName w:val="仿宋_GB2312"/>
    <w:panose1 w:val="00000000000000000000"/>
    <w:charset w:val="86"/>
    <w:family w:val="auto"/>
    <w:pitch w:val="default"/>
    <w:sig w:usb0="00000000" w:usb1="00000000" w:usb2="00000000" w:usb3="00000000" w:csb0="00000000" w:csb1="00000000"/>
  </w:font>
  <w:font w:name="等线">
    <w:altName w:val="C059"/>
    <w:panose1 w:val="00000000000000000000"/>
    <w:charset w:val="00"/>
    <w:family w:val="auto"/>
    <w:pitch w:val="default"/>
    <w:sig w:usb0="00000000" w:usb1="00000000" w:usb2="00000000" w:usb3="00000000" w:csb0="00000000" w:csb1="00000000"/>
  </w:font>
  <w:font w:name="等线 Light">
    <w:altName w:val="汉仪中宋简"/>
    <w:panose1 w:val="02010600030101010101"/>
    <w:charset w:val="86"/>
    <w:family w:val="auto"/>
    <w:pitch w:val="default"/>
    <w:sig w:usb0="00000000" w:usb1="00000000"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C059">
    <w:panose1 w:val="00000500000000000000"/>
    <w:charset w:val="00"/>
    <w:family w:val="auto"/>
    <w:pitch w:val="default"/>
    <w:sig w:usb0="00000287" w:usb1="00000800" w:usb2="00000000" w:usb3="00000000" w:csb0="6000009F" w:csb1="00000000"/>
  </w:font>
  <w:font w:name="华文宋体">
    <w:panose1 w:val="02010600040101010101"/>
    <w:charset w:val="86"/>
    <w:family w:val="auto"/>
    <w:pitch w:val="default"/>
    <w:sig w:usb0="00000287" w:usb1="080F0000" w:usb2="00000000" w:usb3="00000000" w:csb0="0004009F" w:csb1="DFD70000"/>
  </w:font>
  <w:font w:name="等线 Light">
    <w:altName w:val="C059"/>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1" w:usb1="08000000" w:usb2="00000000" w:usb3="00000000" w:csb0="00040000" w:csb1="00000000"/>
  </w:font>
  <w:font w:name="simsun">
    <w:altName w:val="C059"/>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8C5634"/>
    <w:multiLevelType w:val="singleLevel"/>
    <w:tmpl w:val="C98C5634"/>
    <w:lvl w:ilvl="0" w:tentative="0">
      <w:start w:val="1"/>
      <w:numFmt w:val="decimal"/>
      <w:suff w:val="nothing"/>
      <w:lvlText w:val="%1、"/>
      <w:lvlJc w:val="left"/>
    </w:lvl>
  </w:abstractNum>
  <w:abstractNum w:abstractNumId="1">
    <w:nsid w:val="D1DB28E3"/>
    <w:multiLevelType w:val="singleLevel"/>
    <w:tmpl w:val="D1DB28E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308F"/>
    <w:rsid w:val="0001520C"/>
    <w:rsid w:val="000261DE"/>
    <w:rsid w:val="00083860"/>
    <w:rsid w:val="000938D8"/>
    <w:rsid w:val="0015036D"/>
    <w:rsid w:val="00197F32"/>
    <w:rsid w:val="001C688B"/>
    <w:rsid w:val="001D739B"/>
    <w:rsid w:val="002C6790"/>
    <w:rsid w:val="0033197C"/>
    <w:rsid w:val="00336716"/>
    <w:rsid w:val="003845EC"/>
    <w:rsid w:val="003A4CFC"/>
    <w:rsid w:val="003D42F8"/>
    <w:rsid w:val="004D4B50"/>
    <w:rsid w:val="005024FF"/>
    <w:rsid w:val="00573C32"/>
    <w:rsid w:val="005836B0"/>
    <w:rsid w:val="005A4BFE"/>
    <w:rsid w:val="005D2A90"/>
    <w:rsid w:val="00626290"/>
    <w:rsid w:val="00661FB1"/>
    <w:rsid w:val="0066308F"/>
    <w:rsid w:val="006F0715"/>
    <w:rsid w:val="007113EF"/>
    <w:rsid w:val="007848DA"/>
    <w:rsid w:val="007E3FB5"/>
    <w:rsid w:val="008925E5"/>
    <w:rsid w:val="00937657"/>
    <w:rsid w:val="00950848"/>
    <w:rsid w:val="009C1A48"/>
    <w:rsid w:val="00A218D9"/>
    <w:rsid w:val="00A650EC"/>
    <w:rsid w:val="00A658C4"/>
    <w:rsid w:val="00A86432"/>
    <w:rsid w:val="00B30434"/>
    <w:rsid w:val="00B47D35"/>
    <w:rsid w:val="00BF2BBB"/>
    <w:rsid w:val="00CA2C49"/>
    <w:rsid w:val="00CB3C03"/>
    <w:rsid w:val="00CE5BD1"/>
    <w:rsid w:val="00CE63F2"/>
    <w:rsid w:val="00D97C84"/>
    <w:rsid w:val="00DB3297"/>
    <w:rsid w:val="00DC7002"/>
    <w:rsid w:val="00DE1F02"/>
    <w:rsid w:val="00F527F1"/>
    <w:rsid w:val="00F60AB8"/>
    <w:rsid w:val="00FF1EB3"/>
    <w:rsid w:val="00FF7615"/>
    <w:rsid w:val="01525F9E"/>
    <w:rsid w:val="02E46EDB"/>
    <w:rsid w:val="048D195A"/>
    <w:rsid w:val="067F1777"/>
    <w:rsid w:val="08346719"/>
    <w:rsid w:val="085D3F36"/>
    <w:rsid w:val="0B112BB9"/>
    <w:rsid w:val="0C5C337B"/>
    <w:rsid w:val="11513D10"/>
    <w:rsid w:val="11BE2108"/>
    <w:rsid w:val="146A52E1"/>
    <w:rsid w:val="15CE31CD"/>
    <w:rsid w:val="1E112B5D"/>
    <w:rsid w:val="1F04572B"/>
    <w:rsid w:val="1F776993"/>
    <w:rsid w:val="20AD0837"/>
    <w:rsid w:val="217C0935"/>
    <w:rsid w:val="24E14A0E"/>
    <w:rsid w:val="25482FD6"/>
    <w:rsid w:val="29A7676B"/>
    <w:rsid w:val="29C16695"/>
    <w:rsid w:val="2A9A62D0"/>
    <w:rsid w:val="2CA214A8"/>
    <w:rsid w:val="2F947B18"/>
    <w:rsid w:val="30061211"/>
    <w:rsid w:val="35542AA5"/>
    <w:rsid w:val="36A75FFC"/>
    <w:rsid w:val="47900C91"/>
    <w:rsid w:val="483343F3"/>
    <w:rsid w:val="49791BAF"/>
    <w:rsid w:val="4B271062"/>
    <w:rsid w:val="514151E5"/>
    <w:rsid w:val="51EF59F2"/>
    <w:rsid w:val="51FC6DA4"/>
    <w:rsid w:val="523560D6"/>
    <w:rsid w:val="5560352D"/>
    <w:rsid w:val="55AA4D69"/>
    <w:rsid w:val="55F21D17"/>
    <w:rsid w:val="560E2DB3"/>
    <w:rsid w:val="57B114D5"/>
    <w:rsid w:val="5B852E50"/>
    <w:rsid w:val="5BEF0C8B"/>
    <w:rsid w:val="5E842372"/>
    <w:rsid w:val="609A4358"/>
    <w:rsid w:val="667B53E5"/>
    <w:rsid w:val="66BE6679"/>
    <w:rsid w:val="6CD354EF"/>
    <w:rsid w:val="6E6E29DA"/>
    <w:rsid w:val="6FC439BB"/>
    <w:rsid w:val="70290C0C"/>
    <w:rsid w:val="717F6BAF"/>
    <w:rsid w:val="7557320A"/>
    <w:rsid w:val="780C1937"/>
    <w:rsid w:val="7855070D"/>
    <w:rsid w:val="78F11383"/>
    <w:rsid w:val="7D8116A0"/>
    <w:rsid w:val="7E825EDE"/>
    <w:rsid w:val="EFFFADC3"/>
    <w:rsid w:val="FBEFDB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kern w:val="0"/>
      <w:sz w:val="24"/>
      <w:szCs w:val="24"/>
      <w:lang w:val="en-US" w:eastAsia="zh-CN" w:bidi="ar-SA"/>
    </w:rPr>
  </w:style>
  <w:style w:type="paragraph" w:styleId="2">
    <w:name w:val="heading 1"/>
    <w:basedOn w:val="1"/>
    <w:next w:val="1"/>
    <w:link w:val="20"/>
    <w:qFormat/>
    <w:uiPriority w:val="9"/>
    <w:pPr>
      <w:keepNext/>
      <w:keepLines/>
      <w:widowControl w:val="0"/>
      <w:spacing w:before="480" w:after="80"/>
      <w:jc w:val="both"/>
      <w:outlineLvl w:val="0"/>
    </w:pPr>
    <w:rPr>
      <w:rFonts w:asciiTheme="majorHAnsi" w:hAnsiTheme="majorHAnsi" w:eastAsiaTheme="majorEastAsia" w:cstheme="majorBidi"/>
      <w:color w:val="2F5597" w:themeColor="accent1" w:themeShade="BF"/>
      <w:kern w:val="2"/>
      <w:sz w:val="48"/>
      <w:szCs w:val="48"/>
    </w:rPr>
  </w:style>
  <w:style w:type="paragraph" w:styleId="3">
    <w:name w:val="heading 2"/>
    <w:basedOn w:val="1"/>
    <w:next w:val="1"/>
    <w:link w:val="21"/>
    <w:semiHidden/>
    <w:unhideWhenUsed/>
    <w:qFormat/>
    <w:uiPriority w:val="9"/>
    <w:pPr>
      <w:keepNext/>
      <w:keepLines/>
      <w:widowControl w:val="0"/>
      <w:spacing w:before="160" w:after="80"/>
      <w:jc w:val="both"/>
      <w:outlineLvl w:val="1"/>
    </w:pPr>
    <w:rPr>
      <w:rFonts w:asciiTheme="majorHAnsi" w:hAnsiTheme="majorHAnsi" w:eastAsiaTheme="majorEastAsia" w:cstheme="majorBidi"/>
      <w:color w:val="2F5597" w:themeColor="accent1" w:themeShade="BF"/>
      <w:kern w:val="2"/>
      <w:sz w:val="40"/>
      <w:szCs w:val="40"/>
    </w:rPr>
  </w:style>
  <w:style w:type="paragraph" w:styleId="4">
    <w:name w:val="heading 3"/>
    <w:basedOn w:val="1"/>
    <w:next w:val="1"/>
    <w:link w:val="22"/>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3"/>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4"/>
    <w:semiHidden/>
    <w:unhideWhenUsed/>
    <w:qFormat/>
    <w:uiPriority w:val="9"/>
    <w:pPr>
      <w:keepNext/>
      <w:keepLines/>
      <w:spacing w:before="80" w:after="40"/>
      <w:outlineLvl w:val="4"/>
    </w:pPr>
    <w:rPr>
      <w:rFonts w:cstheme="majorBidi"/>
      <w:color w:val="2F5597" w:themeColor="accent1" w:themeShade="BF"/>
    </w:rPr>
  </w:style>
  <w:style w:type="paragraph" w:styleId="7">
    <w:name w:val="heading 6"/>
    <w:basedOn w:val="1"/>
    <w:next w:val="1"/>
    <w:link w:val="25"/>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6"/>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7"/>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8"/>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9"/>
    <w:unhideWhenUsed/>
    <w:qFormat/>
    <w:uiPriority w:val="99"/>
    <w:pPr>
      <w:widowControl w:val="0"/>
      <w:tabs>
        <w:tab w:val="center" w:pos="4153"/>
        <w:tab w:val="right" w:pos="8306"/>
      </w:tabs>
      <w:snapToGrid w:val="0"/>
    </w:pPr>
    <w:rPr>
      <w:rFonts w:asciiTheme="minorHAnsi" w:hAnsiTheme="minorHAnsi" w:eastAsiaTheme="minorEastAsia" w:cstheme="minorBidi"/>
      <w:kern w:val="2"/>
      <w:sz w:val="18"/>
      <w:szCs w:val="18"/>
    </w:rPr>
  </w:style>
  <w:style w:type="paragraph" w:styleId="12">
    <w:name w:val="header"/>
    <w:basedOn w:val="1"/>
    <w:link w:val="38"/>
    <w:unhideWhenUsed/>
    <w:qFormat/>
    <w:uiPriority w:val="99"/>
    <w:pPr>
      <w:widowControl w:val="0"/>
      <w:tabs>
        <w:tab w:val="center" w:pos="4153"/>
        <w:tab w:val="right" w:pos="8306"/>
      </w:tabs>
      <w:snapToGrid w:val="0"/>
      <w:jc w:val="center"/>
    </w:pPr>
    <w:rPr>
      <w:rFonts w:asciiTheme="minorHAnsi" w:hAnsiTheme="minorHAnsi" w:eastAsiaTheme="minorEastAsia" w:cstheme="minorBidi"/>
      <w:kern w:val="2"/>
      <w:sz w:val="18"/>
      <w:szCs w:val="18"/>
    </w:rPr>
  </w:style>
  <w:style w:type="paragraph" w:styleId="13">
    <w:name w:val="Subtitle"/>
    <w:basedOn w:val="1"/>
    <w:next w:val="1"/>
    <w:link w:val="30"/>
    <w:qFormat/>
    <w:uiPriority w:val="11"/>
    <w:pPr>
      <w:widowControl w:val="0"/>
      <w:spacing w:after="160"/>
      <w:jc w:val="center"/>
    </w:pPr>
    <w:rPr>
      <w:rFonts w:asciiTheme="majorHAnsi" w:hAnsiTheme="majorHAnsi" w:eastAsiaTheme="majorEastAsia" w:cstheme="majorBidi"/>
      <w:color w:val="595959" w:themeColor="text1" w:themeTint="A6"/>
      <w:spacing w:val="15"/>
      <w:kern w:val="2"/>
      <w:sz w:val="28"/>
      <w:szCs w:val="28"/>
      <w14:textFill>
        <w14:solidFill>
          <w14:schemeClr w14:val="tx1">
            <w14:lumMod w14:val="65000"/>
            <w14:lumOff w14:val="35000"/>
          </w14:schemeClr>
        </w14:solidFill>
      </w14:textFill>
    </w:rPr>
  </w:style>
  <w:style w:type="paragraph" w:styleId="14">
    <w:name w:val="Normal (Web)"/>
    <w:basedOn w:val="1"/>
    <w:qFormat/>
    <w:uiPriority w:val="0"/>
    <w:pPr>
      <w:widowControl w:val="0"/>
      <w:spacing w:after="160" w:line="336" w:lineRule="auto"/>
    </w:pPr>
    <w:rPr>
      <w:rFonts w:cs="黑体"/>
    </w:rPr>
  </w:style>
  <w:style w:type="paragraph" w:styleId="15">
    <w:name w:val="Title"/>
    <w:basedOn w:val="1"/>
    <w:next w:val="1"/>
    <w:link w:val="29"/>
    <w:qFormat/>
    <w:uiPriority w:val="10"/>
    <w:pPr>
      <w:widowControl w:val="0"/>
      <w:spacing w:after="80"/>
      <w:contextualSpacing/>
      <w:jc w:val="center"/>
    </w:pPr>
    <w:rPr>
      <w:rFonts w:asciiTheme="majorHAnsi" w:hAnsiTheme="majorHAnsi" w:eastAsiaTheme="majorEastAsia" w:cstheme="majorBidi"/>
      <w:spacing w:val="-10"/>
      <w:kern w:val="28"/>
      <w:sz w:val="56"/>
      <w:szCs w:val="56"/>
    </w:rPr>
  </w:style>
  <w:style w:type="table" w:styleId="17">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Fließtext"/>
    <w:qFormat/>
    <w:uiPriority w:val="0"/>
    <w:pPr>
      <w:widowControl w:val="0"/>
      <w:overflowPunct w:val="0"/>
      <w:autoSpaceDE w:val="0"/>
      <w:autoSpaceDN w:val="0"/>
      <w:adjustRightInd w:val="0"/>
      <w:spacing w:after="160" w:line="278" w:lineRule="auto"/>
      <w:jc w:val="both"/>
      <w:textAlignment w:val="baseline"/>
    </w:pPr>
    <w:rPr>
      <w:rFonts w:ascii="Calibri" w:hAnsi="Calibri" w:eastAsia="仿宋_GB2312" w:cs="黑体"/>
      <w:kern w:val="28"/>
      <w:sz w:val="24"/>
      <w:szCs w:val="20"/>
      <w:lang w:val="en-US" w:eastAsia="zh-CN" w:bidi="ar-SA"/>
    </w:rPr>
  </w:style>
  <w:style w:type="character" w:customStyle="1" w:styleId="20">
    <w:name w:val="标题 1 字符"/>
    <w:basedOn w:val="18"/>
    <w:link w:val="2"/>
    <w:qFormat/>
    <w:uiPriority w:val="9"/>
    <w:rPr>
      <w:rFonts w:asciiTheme="majorHAnsi" w:hAnsiTheme="majorHAnsi" w:eastAsiaTheme="majorEastAsia" w:cstheme="majorBidi"/>
      <w:color w:val="2F5597" w:themeColor="accent1" w:themeShade="BF"/>
      <w:sz w:val="48"/>
      <w:szCs w:val="48"/>
    </w:rPr>
  </w:style>
  <w:style w:type="character" w:customStyle="1" w:styleId="21">
    <w:name w:val="标题 2 字符"/>
    <w:basedOn w:val="18"/>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22">
    <w:name w:val="标题 3 字符"/>
    <w:basedOn w:val="18"/>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3">
    <w:name w:val="标题 4 字符"/>
    <w:basedOn w:val="18"/>
    <w:link w:val="5"/>
    <w:semiHidden/>
    <w:qFormat/>
    <w:uiPriority w:val="9"/>
    <w:rPr>
      <w:rFonts w:cstheme="majorBidi"/>
      <w:color w:val="2F5597" w:themeColor="accent1" w:themeShade="BF"/>
      <w:sz w:val="28"/>
      <w:szCs w:val="28"/>
    </w:rPr>
  </w:style>
  <w:style w:type="character" w:customStyle="1" w:styleId="24">
    <w:name w:val="标题 5 字符"/>
    <w:basedOn w:val="18"/>
    <w:link w:val="6"/>
    <w:semiHidden/>
    <w:qFormat/>
    <w:uiPriority w:val="9"/>
    <w:rPr>
      <w:rFonts w:cstheme="majorBidi"/>
      <w:color w:val="2F5597" w:themeColor="accent1" w:themeShade="BF"/>
      <w:sz w:val="24"/>
      <w:szCs w:val="24"/>
    </w:rPr>
  </w:style>
  <w:style w:type="character" w:customStyle="1" w:styleId="25">
    <w:name w:val="标题 6 字符"/>
    <w:basedOn w:val="18"/>
    <w:link w:val="7"/>
    <w:semiHidden/>
    <w:qFormat/>
    <w:uiPriority w:val="9"/>
    <w:rPr>
      <w:rFonts w:cstheme="majorBidi"/>
      <w:b/>
      <w:bCs/>
      <w:color w:val="2F5597" w:themeColor="accent1" w:themeShade="BF"/>
    </w:rPr>
  </w:style>
  <w:style w:type="character" w:customStyle="1" w:styleId="26">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7">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8">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9">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30">
    <w:name w:val="副标题 字符"/>
    <w:basedOn w:val="18"/>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1">
    <w:name w:val="Quote"/>
    <w:basedOn w:val="1"/>
    <w:next w:val="1"/>
    <w:link w:val="32"/>
    <w:qFormat/>
    <w:uiPriority w:val="29"/>
    <w:pPr>
      <w:widowControl w:val="0"/>
      <w:spacing w:before="160" w:after="160"/>
      <w:jc w:val="center"/>
    </w:pPr>
    <w:rPr>
      <w:rFonts w:asciiTheme="minorHAnsi" w:hAnsiTheme="minorHAnsi" w:eastAsiaTheme="minorEastAsia" w:cstheme="minorBidi"/>
      <w:i/>
      <w:iCs/>
      <w:color w:val="404040" w:themeColor="text1" w:themeTint="BF"/>
      <w:kern w:val="2"/>
      <w:sz w:val="21"/>
      <w:szCs w:val="22"/>
      <w14:textFill>
        <w14:solidFill>
          <w14:schemeClr w14:val="tx1">
            <w14:lumMod w14:val="75000"/>
            <w14:lumOff w14:val="25000"/>
          </w14:schemeClr>
        </w14:solidFill>
      </w14:textFill>
    </w:rPr>
  </w:style>
  <w:style w:type="character" w:customStyle="1" w:styleId="32">
    <w:name w:val="引用 字符"/>
    <w:basedOn w:val="18"/>
    <w:link w:val="31"/>
    <w:qFormat/>
    <w:uiPriority w:val="29"/>
    <w:rPr>
      <w:i/>
      <w:iCs/>
      <w:color w:val="404040" w:themeColor="text1" w:themeTint="BF"/>
      <w14:textFill>
        <w14:solidFill>
          <w14:schemeClr w14:val="tx1">
            <w14:lumMod w14:val="75000"/>
            <w14:lumOff w14:val="25000"/>
          </w14:schemeClr>
        </w14:solidFill>
      </w14:textFill>
    </w:rPr>
  </w:style>
  <w:style w:type="paragraph" w:styleId="33">
    <w:name w:val="List Paragraph"/>
    <w:basedOn w:val="1"/>
    <w:qFormat/>
    <w:uiPriority w:val="34"/>
    <w:pPr>
      <w:widowControl w:val="0"/>
      <w:ind w:left="720"/>
      <w:contextualSpacing/>
      <w:jc w:val="both"/>
    </w:pPr>
    <w:rPr>
      <w:rFonts w:asciiTheme="minorHAnsi" w:hAnsiTheme="minorHAnsi" w:eastAsiaTheme="minorEastAsia" w:cstheme="minorBidi"/>
      <w:kern w:val="2"/>
      <w:sz w:val="21"/>
      <w:szCs w:val="22"/>
    </w:rPr>
  </w:style>
  <w:style w:type="character" w:customStyle="1" w:styleId="34">
    <w:name w:val="Intense Emphasis"/>
    <w:basedOn w:val="18"/>
    <w:qFormat/>
    <w:uiPriority w:val="21"/>
    <w:rPr>
      <w:i/>
      <w:iCs/>
      <w:color w:val="2F5597" w:themeColor="accent1" w:themeShade="BF"/>
    </w:rPr>
  </w:style>
  <w:style w:type="paragraph" w:styleId="35">
    <w:name w:val="Intense Quote"/>
    <w:basedOn w:val="1"/>
    <w:next w:val="1"/>
    <w:link w:val="36"/>
    <w:qFormat/>
    <w:uiPriority w:val="30"/>
    <w:pPr>
      <w:widowControl w:val="0"/>
      <w:pBdr>
        <w:top w:val="single" w:color="2F5496" w:themeColor="accent1" w:themeShade="BF" w:sz="4" w:space="10"/>
        <w:bottom w:val="single" w:color="2F5496" w:themeColor="accent1" w:themeShade="BF" w:sz="4" w:space="10"/>
      </w:pBdr>
      <w:spacing w:before="360" w:after="360"/>
      <w:ind w:left="864" w:right="864"/>
      <w:jc w:val="center"/>
    </w:pPr>
    <w:rPr>
      <w:rFonts w:asciiTheme="minorHAnsi" w:hAnsiTheme="minorHAnsi" w:eastAsiaTheme="minorEastAsia" w:cstheme="minorBidi"/>
      <w:i/>
      <w:iCs/>
      <w:color w:val="2F5597" w:themeColor="accent1" w:themeShade="BF"/>
      <w:kern w:val="2"/>
      <w:sz w:val="21"/>
      <w:szCs w:val="22"/>
    </w:rPr>
  </w:style>
  <w:style w:type="character" w:customStyle="1" w:styleId="36">
    <w:name w:val="明显引用 字符"/>
    <w:basedOn w:val="18"/>
    <w:link w:val="35"/>
    <w:qFormat/>
    <w:uiPriority w:val="30"/>
    <w:rPr>
      <w:i/>
      <w:iCs/>
      <w:color w:val="2F5597" w:themeColor="accent1" w:themeShade="BF"/>
    </w:rPr>
  </w:style>
  <w:style w:type="character" w:customStyle="1" w:styleId="37">
    <w:name w:val="Intense Reference"/>
    <w:basedOn w:val="18"/>
    <w:qFormat/>
    <w:uiPriority w:val="32"/>
    <w:rPr>
      <w:b/>
      <w:bCs/>
      <w:smallCaps/>
      <w:color w:val="2F5597" w:themeColor="accent1" w:themeShade="BF"/>
      <w:spacing w:val="5"/>
    </w:rPr>
  </w:style>
  <w:style w:type="character" w:customStyle="1" w:styleId="38">
    <w:name w:val="页眉 字符"/>
    <w:basedOn w:val="18"/>
    <w:link w:val="12"/>
    <w:qFormat/>
    <w:uiPriority w:val="99"/>
    <w:rPr>
      <w:sz w:val="18"/>
      <w:szCs w:val="18"/>
    </w:rPr>
  </w:style>
  <w:style w:type="character" w:customStyle="1" w:styleId="39">
    <w:name w:val="页脚 字符"/>
    <w:basedOn w:val="18"/>
    <w:link w:val="11"/>
    <w:qFormat/>
    <w:uiPriority w:val="99"/>
    <w:rPr>
      <w:sz w:val="18"/>
      <w:szCs w:val="18"/>
    </w:rPr>
  </w:style>
  <w:style w:type="paragraph" w:styleId="40">
    <w:name w:val="No Spacing"/>
    <w:qFormat/>
    <w:uiPriority w:val="1"/>
    <w:pPr>
      <w:widowControl w:val="0"/>
      <w:jc w:val="both"/>
    </w:pPr>
    <w:rPr>
      <w:rFonts w:ascii="Times New Roman" w:hAnsi="Times New Roman" w:eastAsia="宋体" w:cs="Times New Roman"/>
      <w:kern w:val="2"/>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1143</Words>
  <Characters>1424</Characters>
  <Lines>12</Lines>
  <Paragraphs>3</Paragraphs>
  <TotalTime>0</TotalTime>
  <ScaleCrop>false</ScaleCrop>
  <LinksUpToDate>false</LinksUpToDate>
  <CharactersWithSpaces>1559</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2026-05-22T15:04:00Z</dcterms:created>
  <dc:creator>晨 江</dc:creator>
  <cp:lastModifiedBy>高镜杰</cp:lastModifiedBy>
  <dcterms:modified xsi:type="dcterms:W3CDTF">2026-10-30T15:13:33Z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eyJoZGlkIjoiNzRlNzZiNjE1N2NiNDY1MjdjNTllOWUxMWU4Y2ZiZGQiLCJ1c2VySWQiOiIxNzAyMzQ4MDU4In0=</vt:lpwstr>
  </property>
  <property fmtid="{D5CDD505-2E9C-101B-9397-08002B2CF9AE}" pid="3" name="KSOProductBuildVer">
    <vt:lpwstr>2052-12.1.2.25882</vt:lpwstr>
  </property>
  <property fmtid="{D5CDD505-2E9C-101B-9397-08002B2CF9AE}" pid="4" name="ICV">
    <vt:lpwstr>5B60F6A548F8B069D041E46A4C0BC810_43</vt:lpwstr>
  </property>
</Properties>
</file>