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2"/>
        <w:jc w:val="center"/>
        <w:rPr>
          <w:rFonts w:ascii="方正小标宋简体" w:eastAsia="方正小标宋简体"/>
          <w:b w:val="0"/>
          <w:kern w:val="2"/>
          <w:sz w:val="36"/>
          <w:szCs w:val="36"/>
        </w:rPr>
      </w:pPr>
      <w:r>
        <w:rPr>
          <w:rFonts w:hint="eastAsia" w:ascii="方正小标宋简体" w:eastAsia="方正小标宋简体"/>
          <w:b w:val="0"/>
          <w:kern w:val="2"/>
          <w:sz w:val="36"/>
          <w:szCs w:val="36"/>
        </w:rPr>
        <w:t>医院实验动物管理系统项目</w:t>
      </w:r>
      <w:r>
        <w:rPr>
          <w:rFonts w:hint="eastAsia" w:ascii="方正小标宋简体" w:eastAsia="方正小标宋简体"/>
          <w:b w:val="0"/>
          <w:kern w:val="2"/>
          <w:sz w:val="36"/>
          <w:szCs w:val="36"/>
          <w:lang w:val="en-US" w:eastAsia="zh-CN"/>
        </w:rPr>
        <w:t>院内采购</w:t>
      </w:r>
      <w:r>
        <w:rPr>
          <w:rFonts w:hint="eastAsia" w:ascii="方正小标宋简体" w:eastAsia="方正小标宋简体"/>
          <w:b w:val="0"/>
          <w:kern w:val="2"/>
          <w:sz w:val="36"/>
          <w:szCs w:val="36"/>
        </w:rPr>
        <w:t>公示</w:t>
      </w:r>
    </w:p>
    <w:p>
      <w:pPr>
        <w:widowControl/>
        <w:shd w:val="clear" w:color="auto" w:fill="FFFFFF"/>
        <w:spacing w:line="336" w:lineRule="auto"/>
        <w:jc w:val="center"/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  <w:shd w:val="clear" w:color="auto" w:fill="FFFFFF"/>
        </w:rPr>
        <w:t> </w:t>
      </w:r>
    </w:p>
    <w:p>
      <w:pPr>
        <w:widowControl/>
        <w:shd w:val="clear" w:color="auto" w:fill="FFFFFF"/>
        <w:spacing w:line="336" w:lineRule="auto"/>
        <w:jc w:val="center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b/>
          <w:color w:val="000000"/>
          <w:kern w:val="0"/>
          <w:sz w:val="24"/>
          <w:shd w:val="clear" w:color="auto" w:fill="FFFFFF"/>
        </w:rPr>
        <w:t>第一部分 须知前附表</w:t>
      </w:r>
    </w:p>
    <w:p>
      <w:pPr>
        <w:widowControl/>
        <w:shd w:val="clear" w:color="auto" w:fill="FFFFFF"/>
        <w:spacing w:line="336" w:lineRule="auto"/>
      </w:pPr>
      <w:r>
        <w:rPr>
          <w:rFonts w:hint="eastAsia" w:ascii="宋体" w:hAnsi="宋体" w:cs="宋体"/>
          <w:b/>
          <w:color w:val="000000"/>
          <w:kern w:val="0"/>
          <w:sz w:val="24"/>
          <w:shd w:val="clear" w:color="auto" w:fill="FFFFFF"/>
        </w:rPr>
        <w:t> </w:t>
      </w:r>
    </w:p>
    <w:tbl>
      <w:tblPr>
        <w:tblW w:w="8745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4"/>
        <w:gridCol w:w="778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9" w:hRule="atLeast"/>
          <w:jc w:val="center"/>
        </w:trPr>
        <w:tc>
          <w:tcPr>
            <w:tcW w:w="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9"/>
              <w:widowControl/>
              <w:spacing w:line="360" w:lineRule="atLeas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序号</w:t>
            </w:r>
          </w:p>
        </w:tc>
        <w:tc>
          <w:tcPr>
            <w:tcW w:w="778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主　　　要　　　 内　　　 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4" w:hRule="atLeast"/>
          <w:jc w:val="center"/>
        </w:trPr>
        <w:tc>
          <w:tcPr>
            <w:tcW w:w="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</w:t>
            </w:r>
          </w:p>
        </w:tc>
        <w:tc>
          <w:tcPr>
            <w:tcW w:w="77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15" w:lineRule="atLeas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调研报名公示开始时间：202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年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月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　日北京时间</w:t>
            </w:r>
          </w:p>
          <w:p>
            <w:pPr>
              <w:widowControl/>
              <w:spacing w:line="315" w:lineRule="atLeas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调研报名截止时间：202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年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 月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　日下午17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:30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北京时间</w:t>
            </w:r>
          </w:p>
          <w:p>
            <w:pPr>
              <w:widowControl/>
              <w:spacing w:line="315" w:lineRule="atLeas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(报名请携带加盖公章的项目文件回执单、营业执照复印件、公司简介)</w:t>
            </w:r>
          </w:p>
          <w:p>
            <w:pPr>
              <w:widowControl/>
              <w:spacing w:line="315" w:lineRule="atLeas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15" w:lineRule="atLeast"/>
              <w:rPr>
                <w:rFonts w:ascii="仿宋" w:hAnsi="仿宋" w:eastAsia="仿宋" w:cs="仿宋"/>
                <w:color w:val="000000"/>
                <w:kern w:val="0"/>
                <w:sz w:val="24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调研会时间：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>调研会议时间另行通知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>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9" w:hRule="atLeast"/>
          <w:jc w:val="center"/>
        </w:trPr>
        <w:tc>
          <w:tcPr>
            <w:tcW w:w="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77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15" w:lineRule="atLeas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项目： 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小标宋简体" w:eastAsia="方正小标宋简体"/>
                <w:sz w:val="28"/>
                <w:szCs w:val="28"/>
              </w:rPr>
              <w:t>医院实验动物管理系统</w:t>
            </w:r>
            <w:r>
              <w:rPr>
                <w:rFonts w:hint="eastAsia" w:ascii="方正小标宋简体" w:eastAsia="方正小标宋简体"/>
                <w:sz w:val="28"/>
                <w:szCs w:val="28"/>
              </w:rPr>
              <w:t>项目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5" w:hRule="atLeast"/>
          <w:jc w:val="center"/>
        </w:trPr>
        <w:tc>
          <w:tcPr>
            <w:tcW w:w="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77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15" w:lineRule="atLeas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文件正本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>　</w:t>
            </w:r>
            <w:r>
              <w:rPr>
                <w:rFonts w:eastAsia="仿宋" w:cs="Calibri"/>
                <w:color w:val="000000"/>
                <w:kern w:val="0"/>
                <w:sz w:val="24"/>
                <w:u w:val="single"/>
              </w:rPr>
              <w:t>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>1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份，副本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>　</w:t>
            </w:r>
            <w:r>
              <w:rPr>
                <w:rFonts w:eastAsia="仿宋" w:cs="Calibri"/>
                <w:color w:val="000000"/>
                <w:kern w:val="0"/>
                <w:sz w:val="24"/>
                <w:u w:val="single"/>
              </w:rPr>
              <w:t> 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u w:val="single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份。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77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15" w:lineRule="atLeas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文件递交处：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>　福建省肿瘤医院 网络办会议室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5</w:t>
            </w:r>
          </w:p>
        </w:tc>
        <w:tc>
          <w:tcPr>
            <w:tcW w:w="77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15" w:lineRule="atLeas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上述时间、地点如有变动，以单位届时通知为准。</w:t>
            </w:r>
          </w:p>
        </w:tc>
      </w:tr>
    </w:tbl>
    <w:p>
      <w:pPr>
        <w:widowControl/>
        <w:shd w:val="clear" w:color="auto" w:fill="FFFFFF"/>
        <w:spacing w:line="440" w:lineRule="atLeas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b/>
          <w:color w:val="000000"/>
          <w:kern w:val="0"/>
          <w:sz w:val="24"/>
          <w:shd w:val="clear" w:color="auto" w:fill="FFFFFF"/>
        </w:rPr>
        <w:t>地　址： 福建省福州市福马路420号</w:t>
      </w:r>
      <w:r>
        <w:rPr>
          <w:rFonts w:hint="eastAsia" w:ascii="仿宋" w:hAnsi="仿宋" w:eastAsia="仿宋" w:cs="仿宋"/>
          <w:b/>
          <w:color w:val="000000"/>
          <w:kern w:val="0"/>
          <w:sz w:val="24"/>
          <w:shd w:val="clear" w:color="auto" w:fill="FFFFFF"/>
          <w:lang w:val="en-US" w:eastAsia="zh-CN"/>
        </w:rPr>
        <w:t xml:space="preserve"> 福建</w:t>
      </w:r>
      <w:r>
        <w:rPr>
          <w:rFonts w:hint="eastAsia" w:ascii="仿宋" w:hAnsi="仿宋" w:eastAsia="仿宋" w:cs="仿宋"/>
          <w:b/>
          <w:color w:val="000000"/>
          <w:kern w:val="0"/>
          <w:sz w:val="24"/>
          <w:shd w:val="clear" w:color="auto" w:fill="FFFFFF"/>
        </w:rPr>
        <w:t>省肿瘤医院科研楼四楼网络办</w:t>
      </w:r>
    </w:p>
    <w:p>
      <w:pPr>
        <w:widowControl/>
        <w:shd w:val="clear" w:color="auto" w:fill="FFFFFF"/>
        <w:spacing w:line="440" w:lineRule="atLeas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b/>
          <w:color w:val="000000"/>
          <w:kern w:val="0"/>
          <w:sz w:val="24"/>
          <w:shd w:val="clear" w:color="auto" w:fill="FFFFFF"/>
        </w:rPr>
        <w:t>邮　编： 3500</w:t>
      </w:r>
      <w:r>
        <w:rPr>
          <w:rFonts w:ascii="仿宋" w:hAnsi="仿宋" w:eastAsia="仿宋" w:cs="仿宋"/>
          <w:b/>
          <w:color w:val="000000"/>
          <w:kern w:val="0"/>
          <w:sz w:val="24"/>
          <w:shd w:val="clear" w:color="auto" w:fill="FFFFFF"/>
        </w:rPr>
        <w:t>14</w:t>
      </w:r>
      <w:r>
        <w:rPr>
          <w:rFonts w:hint="eastAsia" w:ascii="仿宋" w:hAnsi="仿宋" w:eastAsia="仿宋" w:cs="仿宋"/>
          <w:b/>
          <w:color w:val="000000"/>
          <w:kern w:val="0"/>
          <w:sz w:val="24"/>
          <w:shd w:val="clear" w:color="auto" w:fill="FFFFFF"/>
        </w:rPr>
        <w:t>　 </w:t>
      </w:r>
    </w:p>
    <w:p>
      <w:pPr>
        <w:widowControl/>
        <w:shd w:val="clear" w:color="auto" w:fill="FFFFFF"/>
        <w:spacing w:line="440" w:lineRule="atLeas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b/>
          <w:color w:val="000000"/>
          <w:kern w:val="0"/>
          <w:sz w:val="24"/>
          <w:shd w:val="clear" w:color="auto" w:fill="FFFFFF"/>
        </w:rPr>
        <w:t>电　话： 0591-83660063-8822</w:t>
      </w:r>
    </w:p>
    <w:p>
      <w:pPr>
        <w:widowControl/>
        <w:shd w:val="clear" w:color="auto" w:fill="FFFFFF"/>
        <w:spacing w:line="440" w:lineRule="atLeast"/>
      </w:pPr>
      <w:r>
        <w:rPr>
          <w:rFonts w:hint="eastAsia" w:ascii="仿宋" w:hAnsi="仿宋" w:eastAsia="仿宋" w:cs="仿宋"/>
          <w:b/>
          <w:color w:val="000000"/>
          <w:kern w:val="0"/>
          <w:sz w:val="24"/>
          <w:shd w:val="clear" w:color="auto" w:fill="FFFFFF"/>
        </w:rPr>
        <w:t>联系人： 金工</w:t>
      </w:r>
    </w:p>
    <w:p>
      <w:pPr>
        <w:widowControl/>
        <w:shd w:val="clear" w:color="auto" w:fill="FFFFFF"/>
        <w:spacing w:line="440" w:lineRule="atLeast"/>
        <w:ind w:firstLine="480"/>
      </w:pPr>
      <w:r>
        <w:rPr>
          <w:rFonts w:hint="eastAsia" w:ascii="宋体" w:hAnsi="宋体" w:cs="宋体"/>
          <w:b/>
          <w:color w:val="000000"/>
          <w:kern w:val="0"/>
          <w:sz w:val="24"/>
          <w:shd w:val="clear" w:color="auto" w:fill="FFFFFF"/>
        </w:rPr>
        <w:t> </w:t>
      </w:r>
    </w:p>
    <w:p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kern w:val="0"/>
          <w:sz w:val="24"/>
          <w:shd w:val="clear" w:color="auto" w:fill="FFFFFF"/>
        </w:rPr>
        <w:t> </w:t>
      </w:r>
    </w:p>
    <w:p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>
      <w:pPr>
        <w:keepNext/>
        <w:widowControl/>
        <w:numPr>
          <w:ilvl w:val="0"/>
          <w:numId w:val="1"/>
        </w:numPr>
        <w:shd w:val="clear" w:color="auto" w:fill="FFFFFF"/>
        <w:autoSpaceDE w:val="0"/>
        <w:spacing w:before="120" w:after="120"/>
        <w:ind w:left="420" w:hanging="420"/>
        <w:rPr>
          <w:rFonts w:ascii="仿宋" w:hAnsi="仿宋" w:eastAsia="仿宋" w:cs="仿宋"/>
          <w:b/>
          <w:color w:val="000000"/>
          <w:kern w:val="0"/>
          <w:sz w:val="24"/>
          <w:shd w:val="clear" w:color="auto" w:fill="FFFFFF"/>
        </w:rPr>
      </w:pPr>
      <w:r>
        <w:rPr>
          <w:rFonts w:hint="eastAsia" w:ascii="仿宋" w:hAnsi="仿宋" w:eastAsia="仿宋" w:cs="仿宋"/>
          <w:b/>
          <w:color w:val="000000"/>
          <w:kern w:val="0"/>
          <w:sz w:val="24"/>
          <w:shd w:val="clear" w:color="auto" w:fill="FFFFFF"/>
        </w:rPr>
        <w:t>采购内容</w:t>
      </w:r>
    </w:p>
    <w:p>
      <w:pPr>
        <w:widowControl/>
        <w:shd w:val="clear" w:color="auto" w:fill="FFFFFF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tbl>
      <w:tblPr>
        <w:tblW w:w="717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986"/>
        <w:gridCol w:w="3741"/>
        <w:gridCol w:w="912"/>
        <w:gridCol w:w="15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8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合同包</w:t>
            </w:r>
          </w:p>
        </w:tc>
        <w:tc>
          <w:tcPr>
            <w:tcW w:w="3741" w:type="dxa"/>
            <w:vAlign w:val="top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采购标的</w:t>
            </w:r>
          </w:p>
        </w:tc>
        <w:tc>
          <w:tcPr>
            <w:tcW w:w="912" w:type="dxa"/>
            <w:vAlign w:val="top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数量/单位</w:t>
            </w:r>
          </w:p>
        </w:tc>
        <w:tc>
          <w:tcPr>
            <w:tcW w:w="1532" w:type="dxa"/>
            <w:vAlign w:val="top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预算限价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8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1-1</w:t>
            </w:r>
          </w:p>
        </w:tc>
        <w:tc>
          <w:tcPr>
            <w:tcW w:w="3741" w:type="dxa"/>
            <w:vAlign w:val="top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方正小标宋简体" w:eastAsia="方正小标宋简体"/>
                <w:sz w:val="28"/>
                <w:szCs w:val="28"/>
              </w:rPr>
              <w:t>医院实验动物管理系统项目</w:t>
            </w:r>
          </w:p>
        </w:tc>
        <w:tc>
          <w:tcPr>
            <w:tcW w:w="912" w:type="dxa"/>
            <w:vAlign w:val="top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</w:t>
            </w:r>
          </w:p>
        </w:tc>
        <w:tc>
          <w:tcPr>
            <w:tcW w:w="1532" w:type="dxa"/>
            <w:vAlign w:val="top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1.2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万</w:t>
            </w:r>
          </w:p>
        </w:tc>
      </w:tr>
    </w:tbl>
    <w:p>
      <w:pPr>
        <w:keepNext/>
        <w:widowControl/>
        <w:numPr>
          <w:ilvl w:val="0"/>
          <w:numId w:val="1"/>
        </w:numPr>
        <w:shd w:val="clear" w:color="auto" w:fill="FFFFFF"/>
        <w:autoSpaceDE w:val="0"/>
        <w:spacing w:before="120" w:after="120"/>
        <w:ind w:left="420" w:hanging="420"/>
        <w:rPr>
          <w:rFonts w:ascii="仿宋" w:hAnsi="仿宋" w:eastAsia="仿宋" w:cs="仿宋"/>
          <w:b/>
          <w:color w:val="000000"/>
          <w:kern w:val="0"/>
          <w:sz w:val="24"/>
          <w:shd w:val="clear" w:color="auto" w:fill="FFFFFF"/>
        </w:rPr>
      </w:pPr>
      <w:r>
        <w:rPr>
          <w:rFonts w:hint="eastAsia" w:ascii="仿宋" w:hAnsi="仿宋" w:eastAsia="仿宋" w:cs="仿宋"/>
          <w:b/>
          <w:color w:val="000000"/>
          <w:kern w:val="0"/>
          <w:sz w:val="24"/>
          <w:shd w:val="clear" w:color="auto" w:fill="FFFFFF"/>
        </w:rPr>
        <w:t>软件技术功能及服务要求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软件技术参数：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、软件架构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采用B/S（Browser/Server）架构，即浏览器和服务器架构，软件架构具备开放性，提供完整规范的开发接口，能够满足主流平台和跨平台快速应用开发的需求，企业的管理与业务不受地域限制。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、软件平台</w:t>
      </w:r>
    </w:p>
    <w:p>
      <w:pPr>
        <w:spacing w:line="360" w:lineRule="auto"/>
        <w:ind w:firstLine="360" w:firstLineChars="1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（1）客户端：能够支持目前通用的各类操作系统环境，包括Windows、Linux、MAC OS（苹果操作系统）等主流操作系统，支持iPhone手机、安卓（andriod）手机、windows Phone手机等手机平台，以及各类平板电脑平台等。</w:t>
      </w:r>
    </w:p>
    <w:p>
      <w:pPr>
        <w:spacing w:line="360" w:lineRule="auto"/>
        <w:ind w:firstLine="360" w:firstLineChars="1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（2）服务器端：服务器采用windows2000 Server及以上操作系统（Microsoft-IIS/5.0及以上），或者其它支持ASP解析的软件系统。</w:t>
      </w:r>
    </w:p>
    <w:p>
      <w:pPr>
        <w:spacing w:line="360" w:lineRule="auto"/>
        <w:ind w:firstLine="360" w:firstLineChars="1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（3）数据库管理系统具备良好的数据压缩技术和索引技术，具有较低的空间膨胀率。 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、性能指标</w:t>
      </w:r>
    </w:p>
    <w:p>
      <w:pPr>
        <w:spacing w:line="360" w:lineRule="auto"/>
        <w:ind w:firstLine="360" w:firstLineChars="1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（1）系统支持并发用户数大于100人。</w:t>
      </w:r>
    </w:p>
    <w:p>
      <w:pPr>
        <w:spacing w:line="360" w:lineRule="auto"/>
        <w:ind w:firstLine="360" w:firstLineChars="1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（2）系统无故障运行时间大于5000小时。</w:t>
      </w:r>
    </w:p>
    <w:p>
      <w:pPr>
        <w:spacing w:line="360" w:lineRule="auto"/>
        <w:ind w:firstLine="360" w:firstLineChars="1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（3）系统恢复时间小于4小时。</w:t>
      </w:r>
    </w:p>
    <w:p>
      <w:pPr>
        <w:spacing w:line="360" w:lineRule="auto"/>
        <w:ind w:firstLine="360" w:firstLineChars="1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（4）核心数据库能承载10万条（10万只实验动物）以上，记录数据信息不发生错误；检索客户端响应时间：≤3秒。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 xml:space="preserve">、安全设计 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提供用户管理、权限管理等具体安全功能。对系统的操作、访问等进行实时记录，建立责任追查制度。 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、功能模块设计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系统模块相对齐全完整，模块划分科学、合理。 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功能简介：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本套实验动物管理系统目前包含五个子模块，这五个子模块分别是：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①动物实验申请管理系统（预约管理）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②实验动物在线订购系统（销售管理）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③实验动物仓库管理系统（仓库管理）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④实验动物饲养管理系统（饲养管理）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⑤实验动物笼位使用管理（笼位管理）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这几个子模块可以协同工作，共享并处理订单数据。</w:t>
      </w:r>
    </w:p>
    <w:p>
      <w:pPr>
        <w:spacing w:line="360" w:lineRule="auto"/>
        <w:ind w:firstLine="540" w:firstLineChars="225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1.1 实验预约管理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实验预约管理模块提供在线提交、打印实验申请表功能，申请表含有：项目/课题名称、实验内容方法简介、实验研究者情况、拟使用的实验动物的详细情况（包括品种/品系、级别、体重/规格、数量、组数、每组实验动物数、总实验动物数、预计实验天数）、预计购买实验动物的时间等项目，同时可以上传开展实验所需的相关图片和文档，实验预约管理系统方便了各研究所室提前申报实验计划，实验动物中心可以对申请表进行统计分析，统筹安排动物实验计划。</w:t>
      </w:r>
    </w:p>
    <w:p>
      <w:pPr>
        <w:spacing w:line="360" w:lineRule="auto"/>
        <w:ind w:firstLine="540" w:firstLineChars="225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1.2 订购管理模块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模块在实验动物展示、实验动物检索、实验动物管理、订单提交、订单管理等方面具有界面直观，操作简便的特点，本模块可以进行实验动物订购、试剂耗材订购、笼器具和各种其它物品的订购。管理员可以对用户购买情况、本单位销售情况等进行统计分析，免除繁重而复杂的手工统计方式。而统计报表包括汇总表和明细表功能，可以分类统计，可以直接打印，也可以导入WORD或EXCEL中进行编辑打印。</w:t>
      </w:r>
      <w:r>
        <w:rPr>
          <w:rFonts w:hint="eastAsia" w:ascii="宋体" w:hAnsi="宋体"/>
          <w:sz w:val="24"/>
        </w:rPr>
        <w:cr/>
      </w:r>
      <w:r>
        <w:rPr>
          <w:rFonts w:hint="eastAsia" w:ascii="宋体" w:hAnsi="宋体"/>
          <w:sz w:val="24"/>
        </w:rPr>
        <w:t xml:space="preserve">    1.3 仓库管理模块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普通仓库管理系统一般只针对非实验动物的物品进行设计，对实验动物的出入库操作基本不太适合，用于实验动物管理的仓库系统，除了需要处理品种、品系、级别、性别、规格等参数，甚至在数量单位的处理上也和普通仓库系统有所不同，比如某批次实验动物，一般按数量斤（或公斤）出入库，但同时还必须记录该批次的动物共有多少只，以便于统计用。本套仓库管理软件针对这些特殊需求进行了专门优化设计，可应用于实验动物及各种其它的物资出入库操作，可以打印出标准出入库单。在统计功能上，可以按科室、姓名、年、月、日统计，也可以按品种、品系、级别、性别分别统计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1.4 动物饲养及笼位管理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动物饲养及笼位管理模块用于动物饲养及费用统计，可以设定饲养开始日期、饲养结束日期、管理费用、饲料费用、其它费用等。可以进行笼位设定及笼位视图管理等。可以对某批次动物，按指定日期全部结束或部分提前结束饲养或增加饲养数量。饲养结束后，可对饲养情况进行统计分析，并自动计算饲养费用。可以分类统计，或按查询条件自动生成汇总表和明细表，可以直接打印报表，或导入WORD或EXCEL中进行编辑打印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 xml:space="preserve">、技术支持与服务： 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1、人员培训： 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为保障应用软件顺利运行，考虑进行相关的培训安排。对系统管理员的培训时间不少于1天，名额不少于1名。 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2、技术支持： </w:t>
      </w:r>
    </w:p>
    <w:p>
      <w:r>
        <w:rPr>
          <w:rFonts w:hint="eastAsia" w:ascii="宋体" w:hAnsi="宋体"/>
          <w:sz w:val="24"/>
        </w:rPr>
        <w:t>为使系统建设正常进行，保证系统正常运行，及时解决用户遇到的实际问题，验收合格后提供1年的免费维护，包括软件的完善、升级等。</w:t>
      </w:r>
    </w:p>
    <w:p>
      <w:pPr>
        <w:keepNext/>
        <w:widowControl/>
        <w:shd w:val="clear" w:color="auto" w:fill="FFFFFF"/>
        <w:autoSpaceDE w:val="0"/>
        <w:spacing w:before="120" w:after="120"/>
        <w:rPr>
          <w:rFonts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三、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  <w:t>本次调研说明</w:t>
      </w:r>
    </w:p>
    <w:p>
      <w:pPr>
        <w:spacing w:line="590" w:lineRule="exact"/>
        <w:ind w:firstLine="562" w:firstLineChars="200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欢迎有意向的供应商参与本次调研。</w:t>
      </w:r>
    </w:p>
    <w:p>
      <w:pPr>
        <w:numPr>
          <w:ilvl w:val="0"/>
          <w:numId w:val="2"/>
        </w:numPr>
        <w:spacing w:line="590" w:lineRule="exact"/>
        <w:ind w:firstLine="560"/>
        <w:rPr>
          <w:rFonts w:ascii="仿宋_GB2312" w:eastAsia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参加调研会的公司应准备PPT材料（含方案介绍、服务及集成能力、应用案例、报价等）、技术参数等材料，每公司讲解时间30分钟（含答疑10分钟）；同时上述材料须交予院方留档（可提供U盘留档）。</w:t>
      </w:r>
    </w:p>
    <w:p>
      <w:pPr>
        <w:widowControl/>
        <w:shd w:val="clear" w:color="auto" w:fill="FFFFFF"/>
        <w:spacing w:line="336" w:lineRule="auto"/>
        <w:jc w:val="center"/>
        <w:rPr>
          <w:rFonts w:ascii="宋体" w:hAnsi="宋体" w:cs="宋体"/>
          <w:b/>
          <w:bCs/>
          <w:color w:val="000000"/>
          <w:sz w:val="28"/>
          <w:szCs w:val="28"/>
          <w:shd w:val="clear" w:color="auto" w:fill="FFFFFF"/>
        </w:rPr>
        <w:sectPr>
          <w:footerReference r:id="rId4" w:type="default"/>
          <w:pgSz w:w="12240" w:h="15840"/>
          <w:pgMar w:top="1134" w:right="1587" w:bottom="1134" w:left="1587" w:header="720" w:footer="720" w:gutter="0"/>
          <w:cols w:space="720" w:num="1"/>
          <w:docGrid w:type="lines" w:linePitch="316" w:charSpace="0"/>
        </w:sectPr>
      </w:pPr>
    </w:p>
    <w:p>
      <w:pPr>
        <w:widowControl/>
        <w:shd w:val="clear" w:color="auto" w:fill="FFFFFF"/>
        <w:spacing w:line="336" w:lineRule="auto"/>
        <w:jc w:val="center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  <w:t>项目文件回执单</w:t>
      </w:r>
    </w:p>
    <w:p>
      <w:pPr>
        <w:widowControl/>
        <w:shd w:val="clear" w:color="auto" w:fill="FFFFFF"/>
        <w:spacing w:line="336" w:lineRule="auto"/>
        <w:ind w:left="420" w:firstLine="42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  <w:t>请有意参与的各公司在项目公示期内将回执单送到“福建省肿瘤医院网络办”。</w:t>
      </w:r>
    </w:p>
    <w:tbl>
      <w:tblPr>
        <w:tblW w:w="8519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6"/>
        <w:gridCol w:w="3139"/>
        <w:gridCol w:w="2022"/>
        <w:gridCol w:w="202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  <w:jc w:val="center"/>
        </w:trPr>
        <w:tc>
          <w:tcPr>
            <w:tcW w:w="13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313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202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202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报价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  <w:jc w:val="center"/>
        </w:trPr>
        <w:tc>
          <w:tcPr>
            <w:tcW w:w="13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  <w:jc w:val="center"/>
        </w:trPr>
        <w:tc>
          <w:tcPr>
            <w:tcW w:w="13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  <w:jc w:val="center"/>
        </w:trPr>
        <w:tc>
          <w:tcPr>
            <w:tcW w:w="13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  <w:jc w:val="center"/>
        </w:trPr>
        <w:tc>
          <w:tcPr>
            <w:tcW w:w="13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4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  <w:jc w:val="center"/>
        </w:trPr>
        <w:tc>
          <w:tcPr>
            <w:tcW w:w="13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5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336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 </w:t>
            </w:r>
          </w:p>
        </w:tc>
      </w:tr>
    </w:tbl>
    <w:p>
      <w:pPr>
        <w:widowControl/>
        <w:shd w:val="clear" w:color="auto" w:fill="FFFFFF"/>
        <w:spacing w:line="336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  <w:t> </w:t>
      </w:r>
    </w:p>
    <w:p>
      <w:pPr>
        <w:widowControl/>
        <w:shd w:val="clear" w:color="auto" w:fill="FFFFFF"/>
        <w:spacing w:line="336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  <w:t>公司名称：</w:t>
      </w:r>
    </w:p>
    <w:p>
      <w:pPr>
        <w:widowControl/>
        <w:shd w:val="clear" w:color="auto" w:fill="FFFFFF"/>
        <w:spacing w:line="336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  <w:t>联系人：　</w:t>
      </w:r>
    </w:p>
    <w:p>
      <w:pPr>
        <w:widowControl/>
        <w:shd w:val="clear" w:color="auto" w:fill="FFFFFF"/>
        <w:spacing w:line="336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  <w:t>联系电话：</w:t>
      </w:r>
    </w:p>
    <w:p>
      <w:pPr>
        <w:widowControl/>
        <w:shd w:val="clear" w:color="auto" w:fill="FFFFFF"/>
        <w:spacing w:line="336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  <w:t>邮箱号：　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u w:val="single"/>
          <w:shd w:val="clear" w:color="auto" w:fill="FFFFFF"/>
        </w:rPr>
        <w:t>　　　　　　　　　　　　　　 </w:t>
      </w:r>
    </w:p>
    <w:p>
      <w:pPr>
        <w:widowControl/>
        <w:shd w:val="clear" w:color="auto" w:fill="FFFFFF"/>
        <w:spacing w:line="336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  <w:t>公司盖章：</w:t>
      </w:r>
    </w:p>
    <w:p>
      <w:pPr>
        <w:widowControl/>
        <w:shd w:val="clear" w:color="auto" w:fill="FFFFFF"/>
        <w:spacing w:line="336" w:lineRule="auto"/>
        <w:jc w:val="center"/>
        <w:rPr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  <w:shd w:val="clear" w:color="auto" w:fill="FFFFFF"/>
        </w:rPr>
        <w:t> </w:t>
      </w:r>
    </w:p>
    <w:p>
      <w:pPr>
        <w:spacing w:line="590" w:lineRule="exact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  <w:shd w:val="clear" w:color="auto" w:fill="FFFFFF"/>
        </w:rPr>
        <w:t>　　　　　　　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  <w:t>　　　　　　 202</w:t>
      </w:r>
      <w:r>
        <w:rPr>
          <w:rFonts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  <w:t>2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shd w:val="clear" w:color="auto" w:fill="FFFFFF"/>
        </w:rPr>
        <w:t>年　月　日　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shd w:val="clear" w:color="auto" w:fill="FFFFFF"/>
        </w:rPr>
        <w:t>　</w:t>
      </w:r>
    </w:p>
    <w:sectPr>
      <w:pgSz w:w="12240" w:h="15840"/>
      <w:pgMar w:top="1134" w:right="1587" w:bottom="1134" w:left="1587" w:header="720" w:footer="720" w:gutter="0"/>
      <w:cols w:space="720" w:num="1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7"/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pict>
        <v:rect id="Quad Arrow 1025" o:spid="_x0000_s1025" style="position:absolute;left:0;margin-top:0pt;height:12.8pt;width:5.35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12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rect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23815692">
    <w:nsid w:val="60C9760C"/>
    <w:multiLevelType w:val="singleLevel"/>
    <w:tmpl w:val="60C9760C"/>
    <w:lvl w:ilvl="0" w:tentative="1">
      <w:start w:val="1"/>
      <w:numFmt w:val="decimal"/>
      <w:suff w:val="nothing"/>
      <w:lvlText w:val="%1、"/>
      <w:lvlJc w:val="left"/>
    </w:lvl>
  </w:abstractNum>
  <w:abstractNum w:abstractNumId="2455590503">
    <w:nsid w:val="925D5667"/>
    <w:multiLevelType w:val="singleLevel"/>
    <w:tmpl w:val="925D5667"/>
    <w:lvl w:ilvl="0" w:tentative="1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455590503"/>
  </w:num>
  <w:num w:numId="2">
    <w:abstractNumId w:val="1623815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qFormat="1" w:uiPriority="99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9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paragraph" w:styleId="4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5">
    <w:name w:val="Body Text"/>
    <w:basedOn w:val="1"/>
    <w:semiHidden/>
    <w:unhideWhenUsed/>
    <w:qFormat/>
    <w:uiPriority w:val="99"/>
    <w:pPr>
      <w:spacing w:after="120"/>
    </w:pPr>
  </w:style>
  <w:style w:type="paragraph" w:styleId="6">
    <w:name w:val="Normal Indent"/>
    <w:basedOn w:val="1"/>
    <w:link w:val="20"/>
    <w:qFormat/>
    <w:uiPriority w:val="0"/>
    <w:pPr>
      <w:ind w:firstLine="420" w:firstLineChars="200"/>
    </w:pPr>
  </w:style>
  <w:style w:type="paragraph" w:styleId="7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line="336" w:lineRule="auto"/>
      <w:jc w:val="left"/>
    </w:pPr>
    <w:rPr>
      <w:rFonts w:ascii="宋体" w:hAnsi="宋体"/>
      <w:kern w:val="0"/>
      <w:sz w:val="24"/>
    </w:rPr>
  </w:style>
  <w:style w:type="paragraph" w:styleId="10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 w:cs="宋体"/>
      <w:b/>
      <w:bCs/>
      <w:sz w:val="32"/>
      <w:szCs w:val="32"/>
    </w:rPr>
  </w:style>
  <w:style w:type="character" w:styleId="12">
    <w:name w:val="Strong"/>
    <w:qFormat/>
    <w:uiPriority w:val="0"/>
    <w:rPr>
      <w:b/>
    </w:rPr>
  </w:style>
  <w:style w:type="character" w:styleId="13">
    <w:name w:val="page number"/>
    <w:basedOn w:val="11"/>
    <w:semiHidden/>
    <w:unhideWhenUsed/>
    <w:uiPriority w:val="0"/>
    <w:rPr/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List Paragraph"/>
    <w:basedOn w:val="1"/>
    <w:link w:val="18"/>
    <w:qFormat/>
    <w:uiPriority w:val="34"/>
    <w:pPr>
      <w:widowControl/>
      <w:spacing w:before="100" w:beforeAutospacing="1" w:after="100" w:afterAutospacing="1" w:line="360" w:lineRule="auto"/>
      <w:ind w:firstLine="420" w:firstLineChars="200"/>
      <w:jc w:val="left"/>
    </w:pPr>
    <w:rPr>
      <w:rFonts w:ascii="Calibri" w:hAnsi="Calibri" w:eastAsia="宋体"/>
      <w:szCs w:val="22"/>
    </w:rPr>
  </w:style>
  <w:style w:type="character" w:customStyle="1" w:styleId="16">
    <w:name w:val="页眉 字符"/>
    <w:link w:val="8"/>
    <w:qFormat/>
    <w:uiPriority w:val="0"/>
    <w:rPr>
      <w:rFonts w:ascii="Calibri" w:hAnsi="Calibri" w:eastAsia="宋体"/>
      <w:kern w:val="2"/>
      <w:sz w:val="18"/>
      <w:szCs w:val="18"/>
    </w:rPr>
  </w:style>
  <w:style w:type="character" w:customStyle="1" w:styleId="17">
    <w:name w:val="页脚 字符"/>
    <w:link w:val="7"/>
    <w:qFormat/>
    <w:uiPriority w:val="99"/>
    <w:rPr>
      <w:rFonts w:ascii="Calibri" w:hAnsi="Calibri" w:eastAsia="宋体"/>
      <w:kern w:val="2"/>
      <w:sz w:val="18"/>
      <w:szCs w:val="18"/>
    </w:rPr>
  </w:style>
  <w:style w:type="character" w:customStyle="1" w:styleId="18">
    <w:name w:val="列表段落 字符"/>
    <w:link w:val="15"/>
    <w:qFormat/>
    <w:uiPriority w:val="34"/>
    <w:rPr>
      <w:rFonts w:ascii="Calibri" w:hAnsi="Calibri" w:eastAsia="宋体"/>
      <w:kern w:val="2"/>
      <w:sz w:val="21"/>
      <w:szCs w:val="22"/>
    </w:rPr>
  </w:style>
  <w:style w:type="character" w:customStyle="1" w:styleId="19">
    <w:name w:val="标题 2 字符"/>
    <w:link w:val="3"/>
    <w:qFormat/>
    <w:uiPriority w:val="0"/>
    <w:rPr>
      <w:rFonts w:ascii="Calibri Light" w:hAnsi="Calibri Light" w:cs="Times New Roman"/>
      <w:b/>
      <w:bCs/>
      <w:kern w:val="2"/>
      <w:sz w:val="32"/>
      <w:szCs w:val="32"/>
    </w:rPr>
  </w:style>
  <w:style w:type="character" w:customStyle="1" w:styleId="20">
    <w:name w:val="正文缩进 字符"/>
    <w:link w:val="6"/>
    <w:qFormat/>
    <w:uiPriority w:val="0"/>
    <w:rPr>
      <w:rFonts w:cs="Times New Roman"/>
      <w:kern w:val="2"/>
      <w:sz w:val="21"/>
      <w:szCs w:val="24"/>
    </w:rPr>
  </w:style>
  <w:style w:type="character" w:customStyle="1" w:styleId="21">
    <w:name w:val="列出段落 Char"/>
    <w:qFormat/>
    <w:uiPriority w:val="34"/>
    <w:rPr>
      <w:rFonts w:cs="宋体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168</Words>
  <Characters>958</Characters>
  <Lines>7</Lines>
  <Paragraphs>2</Paragraphs>
  <ScaleCrop>false</ScaleCrop>
  <LinksUpToDate>false</LinksUpToDate>
  <CharactersWithSpaces>0</CharactersWithSpaces>
  <Application>WPS Office 专业版_8.1.0.0_{F1E327BC-269C-435d-A152-05C5408002CA}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2021-10-21T06:00:00Z</dcterms:created>
  <dc:creator>air</dc:creator>
  <cp:lastModifiedBy>Administrator</cp:lastModifiedBy>
  <cp:lastPrinted>2021-06-16T01:18:00Z</cp:lastPrinted>
  <dcterms:modified xsi:type="dcterms:W3CDTF">2022-08-05T00:30:43Z</dcterms:modified>
  <dc:title>关于网络及安全设备的采购、更新报告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2052-8.1.0.0</vt:lpwstr>
  </property>
</Properties>
</file>