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3A2EE">
      <w:pPr>
        <w:jc w:val="center"/>
        <w:rPr>
          <w:rFonts w:hint="eastAsia"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福建省肿瘤医院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消化</w:t>
      </w:r>
      <w:r>
        <w:rPr>
          <w:rFonts w:hint="eastAsia" w:ascii="华文楷体" w:hAnsi="华文楷体" w:eastAsia="华文楷体"/>
          <w:b/>
          <w:sz w:val="36"/>
          <w:szCs w:val="36"/>
        </w:rPr>
        <w:t>内镜中心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研修</w:t>
      </w:r>
      <w:r>
        <w:rPr>
          <w:rFonts w:hint="eastAsia" w:ascii="华文楷体" w:hAnsi="华文楷体" w:eastAsia="华文楷体"/>
          <w:b/>
          <w:sz w:val="36"/>
          <w:szCs w:val="36"/>
        </w:rPr>
        <w:t>医师招收启事</w:t>
      </w:r>
    </w:p>
    <w:p w14:paraId="625D5EF5">
      <w:pPr>
        <w:numPr>
          <w:ilvl w:val="0"/>
          <w:numId w:val="1"/>
        </w:numPr>
        <w:spacing w:line="360" w:lineRule="auto"/>
        <w:rPr>
          <w:rFonts w:hint="eastAsia" w:ascii="华文楷体" w:hAnsi="华文楷体" w:eastAsia="华文楷体"/>
          <w:b/>
          <w:bCs w:val="0"/>
          <w:sz w:val="30"/>
          <w:szCs w:val="30"/>
        </w:rPr>
      </w:pPr>
      <w:r>
        <w:rPr>
          <w:rFonts w:hint="eastAsia" w:ascii="华文楷体" w:hAnsi="华文楷体" w:eastAsia="华文楷体"/>
          <w:b/>
          <w:bCs w:val="0"/>
          <w:sz w:val="30"/>
          <w:szCs w:val="30"/>
        </w:rPr>
        <w:t>医院</w:t>
      </w:r>
      <w:r>
        <w:rPr>
          <w:rFonts w:hint="eastAsia" w:ascii="华文楷体" w:hAnsi="华文楷体" w:eastAsia="华文楷体"/>
          <w:b/>
          <w:bCs w:val="0"/>
          <w:sz w:val="30"/>
          <w:szCs w:val="30"/>
          <w:lang w:val="en-US" w:eastAsia="zh-CN"/>
        </w:rPr>
        <w:t>基本情况</w:t>
      </w:r>
    </w:p>
    <w:p w14:paraId="1B6A3AD4">
      <w:pPr>
        <w:spacing w:line="360" w:lineRule="auto"/>
        <w:ind w:firstLine="560" w:firstLineChars="200"/>
        <w:rPr>
          <w:rFonts w:hint="eastAsia" w:eastAsia="楷体"/>
          <w:sz w:val="28"/>
          <w:szCs w:val="28"/>
          <w:lang w:eastAsia="zh-CN"/>
        </w:rPr>
      </w:pPr>
      <w:r>
        <w:rPr>
          <w:rFonts w:hint="eastAsia" w:eastAsia="楷体"/>
          <w:sz w:val="28"/>
          <w:szCs w:val="28"/>
          <w:lang w:val="en-US" w:eastAsia="zh-CN"/>
        </w:rPr>
        <w:t>福建省肿瘤医院</w:t>
      </w:r>
      <w:r>
        <w:rPr>
          <w:rFonts w:hint="eastAsia" w:eastAsia="楷体"/>
          <w:sz w:val="28"/>
          <w:szCs w:val="28"/>
        </w:rPr>
        <w:t>于1979年筹建，1984年收治病人，1986年正式挂牌开院；福建省肿瘤防治办公室挂靠医院；1997年被国家卫生部评为三级甲等肿瘤医院；2001年成立福建省肿瘤研究所，与医院合署办公。2013年被列为肿瘤科国家临床重点专科建设单位，2016年成为福建医科大学附属肿瘤医院，2017年被确认为福建省高水平癌症医学中心建设单位，2020年被列为争创国家肿瘤区域医疗中心建设单位，2021年肿瘤放疗科获批国家临床重点专科建设项目，2022年成为福建医科大学肿瘤临床医学院，2023年病理科获批国家临床重点专科建设项目。复旦大学附属肿瘤医院福建医院于2023年正式获批国家区域医疗中心建设项目，开启两个院区建设的新征程。</w:t>
      </w:r>
    </w:p>
    <w:p w14:paraId="03694113">
      <w:pPr>
        <w:numPr>
          <w:ilvl w:val="0"/>
          <w:numId w:val="1"/>
        </w:numPr>
        <w:spacing w:line="360" w:lineRule="auto"/>
        <w:rPr>
          <w:rFonts w:hint="eastAsia" w:ascii="华文楷体" w:hAnsi="华文楷体" w:eastAsia="华文楷体"/>
          <w:b/>
          <w:bCs w:val="0"/>
          <w:sz w:val="30"/>
          <w:szCs w:val="30"/>
        </w:rPr>
      </w:pPr>
      <w:r>
        <w:rPr>
          <w:rFonts w:hint="eastAsia" w:ascii="华文楷体" w:hAnsi="华文楷体" w:eastAsia="华文楷体"/>
          <w:b/>
          <w:bCs w:val="0"/>
          <w:sz w:val="30"/>
          <w:szCs w:val="30"/>
          <w:lang w:val="en-US" w:eastAsia="zh-CN"/>
        </w:rPr>
        <w:t>消化</w:t>
      </w:r>
      <w:r>
        <w:rPr>
          <w:rFonts w:hint="eastAsia" w:ascii="华文楷体" w:hAnsi="华文楷体" w:eastAsia="华文楷体"/>
          <w:b/>
          <w:bCs w:val="0"/>
          <w:sz w:val="30"/>
          <w:szCs w:val="30"/>
        </w:rPr>
        <w:t>内镜中心简介</w:t>
      </w:r>
    </w:p>
    <w:p w14:paraId="5C8B3524">
      <w:pPr>
        <w:spacing w:line="360" w:lineRule="auto"/>
        <w:ind w:firstLine="560" w:firstLineChars="200"/>
        <w:rPr>
          <w:rFonts w:ascii="华文楷体" w:hAnsi="华文楷体" w:eastAsia="华文楷体" w:cs="Times New Roman"/>
          <w:sz w:val="28"/>
          <w:szCs w:val="28"/>
        </w:rPr>
      </w:pPr>
      <w:r>
        <w:rPr>
          <w:rFonts w:hint="eastAsia" w:eastAsia="楷体"/>
          <w:sz w:val="28"/>
          <w:szCs w:val="28"/>
        </w:rPr>
        <w:t>福建省肿瘤医院</w:t>
      </w:r>
      <w:r>
        <w:rPr>
          <w:rFonts w:hint="eastAsia" w:eastAsia="楷体"/>
          <w:sz w:val="28"/>
          <w:szCs w:val="28"/>
          <w:lang w:val="en-US" w:eastAsia="zh-CN"/>
        </w:rPr>
        <w:t>消化</w:t>
      </w:r>
      <w:r>
        <w:rPr>
          <w:rFonts w:hint="eastAsia" w:eastAsia="楷体"/>
          <w:sz w:val="28"/>
          <w:szCs w:val="28"/>
        </w:rPr>
        <w:t>内镜中心隶属我省唯一省级三级甲等肿瘤专科医院，集临床、教学、科研、培训于一体，致力于消化道肿瘤内镜早诊早治、消化系统肿瘤超声内镜</w:t>
      </w:r>
      <w:r>
        <w:rPr>
          <w:rFonts w:eastAsia="楷体"/>
          <w:sz w:val="28"/>
          <w:szCs w:val="28"/>
        </w:rPr>
        <w:t>诊疗</w:t>
      </w:r>
      <w:r>
        <w:rPr>
          <w:rFonts w:hint="eastAsia" w:eastAsia="楷体"/>
          <w:sz w:val="28"/>
          <w:szCs w:val="28"/>
        </w:rPr>
        <w:t>、内镜-腔镜联合技术（LECS）、消化道肿瘤多学科（MDT）诊治及经自然腔道内镜手术（N</w:t>
      </w:r>
      <w:r>
        <w:rPr>
          <w:rFonts w:eastAsia="楷体"/>
          <w:sz w:val="28"/>
          <w:szCs w:val="28"/>
        </w:rPr>
        <w:t>OTES</w:t>
      </w:r>
      <w:r>
        <w:rPr>
          <w:rFonts w:hint="eastAsia" w:eastAsia="楷体"/>
          <w:sz w:val="28"/>
          <w:szCs w:val="28"/>
        </w:rPr>
        <w:t>）、手术机器人研究等，参与中国食管、胃、结直肠等消化系统肿瘤内镜诊治相关指南修订。中心作为中国抗癌协会肿瘤内镜学专委会副主任委员单位、福建省抗癌协会肿瘤内镜学专业委员副主任委员单位、国家卫生健康委员会“上消化道癌筛查及早诊早治”技术指导单位、国家消化道早癌防治中心联盟负责单位（GECA），大力开展早癌筛查</w:t>
      </w:r>
      <w:r>
        <w:rPr>
          <w:rFonts w:hint="eastAsia" w:eastAsia="楷体"/>
          <w:sz w:val="28"/>
          <w:szCs w:val="28"/>
          <w:lang w:eastAsia="zh-CN"/>
        </w:rPr>
        <w:t>、</w:t>
      </w:r>
      <w:r>
        <w:rPr>
          <w:rFonts w:hint="eastAsia" w:eastAsia="楷体"/>
          <w:sz w:val="28"/>
          <w:szCs w:val="28"/>
          <w:lang w:val="en-US" w:eastAsia="zh-CN"/>
        </w:rPr>
        <w:t>早诊早治</w:t>
      </w:r>
      <w:r>
        <w:rPr>
          <w:rFonts w:hint="eastAsia" w:eastAsia="楷体"/>
          <w:sz w:val="28"/>
          <w:szCs w:val="28"/>
        </w:rPr>
        <w:t>工作，定期进行消化道肿瘤基层义诊、科普宣教、内镜</w:t>
      </w:r>
      <w:r>
        <w:rPr>
          <w:rFonts w:hint="eastAsia" w:eastAsia="楷体"/>
          <w:sz w:val="28"/>
          <w:szCs w:val="28"/>
          <w:lang w:val="en-US" w:eastAsia="zh-CN"/>
        </w:rPr>
        <w:t>培训</w:t>
      </w:r>
      <w:r>
        <w:rPr>
          <w:rFonts w:hint="eastAsia" w:eastAsia="楷体"/>
          <w:sz w:val="28"/>
          <w:szCs w:val="28"/>
        </w:rPr>
        <w:t>活动，提高我省民众防癌、抗癌意识。作为中国医师协会ESD医师培训中心，定期举办消化道肿瘤早诊早治医师培训，并与日本癌研有明病院消化内科建立长期合作关系，定期开展中日</w:t>
      </w:r>
      <w:r>
        <w:rPr>
          <w:rFonts w:hint="eastAsia" w:eastAsia="楷体"/>
          <w:sz w:val="28"/>
          <w:szCs w:val="28"/>
          <w:lang w:val="en-US" w:eastAsia="zh-CN"/>
        </w:rPr>
        <w:t>间</w:t>
      </w:r>
      <w:r>
        <w:rPr>
          <w:rFonts w:hint="eastAsia" w:eastAsia="楷体"/>
          <w:sz w:val="28"/>
          <w:szCs w:val="28"/>
        </w:rPr>
        <w:t>学术交流、</w:t>
      </w:r>
      <w:r>
        <w:rPr>
          <w:rFonts w:hint="eastAsia" w:eastAsia="楷体"/>
          <w:sz w:val="28"/>
          <w:szCs w:val="28"/>
          <w:lang w:val="en-US" w:eastAsia="zh-CN"/>
        </w:rPr>
        <w:t>手把手教学</w:t>
      </w:r>
      <w:r>
        <w:rPr>
          <w:rFonts w:hint="eastAsia" w:eastAsia="楷体"/>
          <w:sz w:val="28"/>
          <w:szCs w:val="28"/>
        </w:rPr>
        <w:t>培训活动，</w:t>
      </w:r>
      <w:r>
        <w:rPr>
          <w:rFonts w:hint="eastAsia" w:eastAsia="楷体"/>
          <w:sz w:val="28"/>
          <w:szCs w:val="28"/>
          <w:lang w:val="en-US" w:eastAsia="zh-CN"/>
        </w:rPr>
        <w:t>每年</w:t>
      </w:r>
      <w:r>
        <w:rPr>
          <w:rFonts w:hint="eastAsia" w:eastAsia="楷体"/>
          <w:sz w:val="28"/>
          <w:szCs w:val="28"/>
        </w:rPr>
        <w:t>举办国家级与省级学术会议、继续医学教育课程等</w:t>
      </w:r>
      <w:r>
        <w:rPr>
          <w:rFonts w:hint="eastAsia" w:ascii="楷体" w:hAnsi="楷体" w:eastAsia="楷体"/>
          <w:sz w:val="28"/>
          <w:szCs w:val="28"/>
        </w:rPr>
        <w:t>。</w:t>
      </w:r>
    </w:p>
    <w:p w14:paraId="31395325">
      <w:pPr>
        <w:spacing w:line="360" w:lineRule="auto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中心现有医护人员</w:t>
      </w:r>
      <w:r>
        <w:rPr>
          <w:rFonts w:eastAsia="楷体"/>
          <w:sz w:val="28"/>
          <w:szCs w:val="28"/>
        </w:rPr>
        <w:t>2</w:t>
      </w:r>
      <w:r>
        <w:rPr>
          <w:rFonts w:hint="eastAsia" w:eastAsia="楷体"/>
          <w:sz w:val="28"/>
          <w:szCs w:val="28"/>
          <w:lang w:val="en-US" w:eastAsia="zh-CN"/>
        </w:rPr>
        <w:t>7</w:t>
      </w:r>
      <w:r>
        <w:rPr>
          <w:rFonts w:hint="eastAsia" w:eastAsia="楷体"/>
          <w:sz w:val="28"/>
          <w:szCs w:val="28"/>
        </w:rPr>
        <w:t>名，其中主任医师</w:t>
      </w:r>
      <w:r>
        <w:rPr>
          <w:rFonts w:eastAsia="楷体"/>
          <w:sz w:val="28"/>
          <w:szCs w:val="28"/>
        </w:rPr>
        <w:t>2</w:t>
      </w:r>
      <w:r>
        <w:rPr>
          <w:rFonts w:hint="eastAsia" w:eastAsia="楷体"/>
          <w:sz w:val="28"/>
          <w:szCs w:val="28"/>
        </w:rPr>
        <w:t>人，副主任医师</w:t>
      </w:r>
      <w:r>
        <w:rPr>
          <w:rFonts w:hint="eastAsia" w:eastAsia="楷体"/>
          <w:sz w:val="28"/>
          <w:szCs w:val="28"/>
          <w:lang w:val="en-US" w:eastAsia="zh-CN"/>
        </w:rPr>
        <w:t>2</w:t>
      </w:r>
      <w:r>
        <w:rPr>
          <w:rFonts w:hint="eastAsia" w:eastAsia="楷体"/>
          <w:sz w:val="28"/>
          <w:szCs w:val="28"/>
        </w:rPr>
        <w:t>人，博士</w:t>
      </w:r>
      <w:r>
        <w:rPr>
          <w:rFonts w:hint="eastAsia" w:eastAsia="楷体"/>
          <w:sz w:val="28"/>
          <w:szCs w:val="28"/>
          <w:lang w:val="en-US" w:eastAsia="zh-CN"/>
        </w:rPr>
        <w:t>2</w:t>
      </w:r>
      <w:r>
        <w:rPr>
          <w:rFonts w:hint="eastAsia" w:eastAsia="楷体"/>
          <w:sz w:val="28"/>
          <w:szCs w:val="28"/>
        </w:rPr>
        <w:t>名、硕士</w:t>
      </w:r>
      <w:r>
        <w:rPr>
          <w:rFonts w:hint="eastAsia" w:eastAsia="楷体"/>
          <w:sz w:val="28"/>
          <w:szCs w:val="28"/>
          <w:lang w:val="en-US" w:eastAsia="zh-CN"/>
        </w:rPr>
        <w:t>11</w:t>
      </w:r>
      <w:r>
        <w:rPr>
          <w:rFonts w:hint="eastAsia" w:eastAsia="楷体"/>
          <w:sz w:val="28"/>
          <w:szCs w:val="28"/>
        </w:rPr>
        <w:t>名。下设ESD、EUS、LECS及NOTES等肿瘤内镜亚专科。科室拥有目前世界上最先进的OLYMPUS-290内镜系统、UM2000环扫超声内镜、</w:t>
      </w:r>
      <w:r>
        <w:rPr>
          <w:rFonts w:hint="eastAsia" w:eastAsia="楷体"/>
          <w:sz w:val="28"/>
          <w:szCs w:val="28"/>
          <w:lang w:val="en-US" w:eastAsia="zh-CN"/>
        </w:rPr>
        <w:t>OLYMPUS和</w:t>
      </w:r>
      <w:r>
        <w:rPr>
          <w:rFonts w:hint="eastAsia" w:eastAsia="楷体"/>
          <w:sz w:val="28"/>
          <w:szCs w:val="28"/>
        </w:rPr>
        <w:t>PENTAX线阵超声内镜、内镜消毒及清洗系统、E</w:t>
      </w:r>
      <w:r>
        <w:rPr>
          <w:rFonts w:eastAsia="楷体"/>
          <w:sz w:val="28"/>
          <w:szCs w:val="28"/>
        </w:rPr>
        <w:t>RBE</w:t>
      </w:r>
      <w:r>
        <w:rPr>
          <w:rFonts w:hint="eastAsia" w:eastAsia="楷体"/>
          <w:sz w:val="28"/>
          <w:szCs w:val="28"/>
        </w:rPr>
        <w:t>及Martin内镜高频电发生器等。</w:t>
      </w:r>
    </w:p>
    <w:p w14:paraId="031E9AB8">
      <w:pPr>
        <w:spacing w:line="360" w:lineRule="auto"/>
        <w:ind w:firstLine="420" w:firstLineChars="200"/>
        <w:rPr>
          <w:rFonts w:hint="eastAsia" w:eastAsia="楷体"/>
          <w:sz w:val="28"/>
          <w:szCs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74930</wp:posOffset>
            </wp:positionV>
            <wp:extent cx="5441950" cy="3061335"/>
            <wp:effectExtent l="90805" t="73025" r="106045" b="123190"/>
            <wp:wrapNone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498" cy="3061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28A88F68">
      <w:pPr>
        <w:spacing w:line="360" w:lineRule="auto"/>
        <w:ind w:firstLine="560" w:firstLineChars="200"/>
        <w:rPr>
          <w:rFonts w:hint="eastAsia" w:eastAsia="楷体"/>
          <w:sz w:val="28"/>
          <w:szCs w:val="28"/>
        </w:rPr>
      </w:pPr>
    </w:p>
    <w:p w14:paraId="2A7BF5BB">
      <w:pPr>
        <w:spacing w:line="360" w:lineRule="auto"/>
        <w:ind w:firstLine="560" w:firstLineChars="200"/>
        <w:rPr>
          <w:rFonts w:hint="eastAsia" w:eastAsia="楷体"/>
          <w:sz w:val="28"/>
          <w:szCs w:val="28"/>
        </w:rPr>
      </w:pPr>
    </w:p>
    <w:p w14:paraId="6DE870EA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555593AD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1F9345E9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1A73884D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7404C2DC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52E5F3D2">
      <w:pPr>
        <w:spacing w:line="360" w:lineRule="auto"/>
        <w:rPr>
          <w:rFonts w:hint="eastAsia" w:eastAsia="楷体"/>
          <w:b/>
          <w:sz w:val="28"/>
          <w:szCs w:val="28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2995295</wp:posOffset>
            </wp:positionH>
            <wp:positionV relativeFrom="paragraph">
              <wp:posOffset>217805</wp:posOffset>
            </wp:positionV>
            <wp:extent cx="2526665" cy="1894840"/>
            <wp:effectExtent l="90805" t="73025" r="106680" b="108585"/>
            <wp:wrapNone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6792" cy="18950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196850</wp:posOffset>
            </wp:positionV>
            <wp:extent cx="2526665" cy="1894840"/>
            <wp:effectExtent l="90805" t="73025" r="106680" b="108585"/>
            <wp:wrapNone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792" cy="18950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ABE2FB1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17BC08F4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57EC8601">
      <w:pPr>
        <w:spacing w:line="360" w:lineRule="auto"/>
        <w:rPr>
          <w:rFonts w:hint="eastAsia" w:eastAsia="楷体"/>
          <w:b/>
          <w:sz w:val="28"/>
          <w:szCs w:val="28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3313430</wp:posOffset>
            </wp:positionH>
            <wp:positionV relativeFrom="paragraph">
              <wp:posOffset>-241935</wp:posOffset>
            </wp:positionV>
            <wp:extent cx="1709420" cy="2447290"/>
            <wp:effectExtent l="90805" t="73025" r="90805" b="122555"/>
            <wp:wrapNone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0" t="3887" r="7100" b="39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09795" cy="2447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-342900</wp:posOffset>
            </wp:positionV>
            <wp:extent cx="1709420" cy="2607945"/>
            <wp:effectExtent l="91440" t="53975" r="100965" b="122555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09794" cy="26080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1E8B278E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584BF72C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62498AF1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4B2A492A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1F466EC4">
      <w:pPr>
        <w:spacing w:line="360" w:lineRule="auto"/>
        <w:rPr>
          <w:rFonts w:hint="eastAsia" w:eastAsia="楷体"/>
          <w:b/>
          <w:sz w:val="28"/>
          <w:szCs w:val="28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2940050</wp:posOffset>
            </wp:positionH>
            <wp:positionV relativeFrom="paragraph">
              <wp:posOffset>91440</wp:posOffset>
            </wp:positionV>
            <wp:extent cx="2442210" cy="1744345"/>
            <wp:effectExtent l="90805" t="73025" r="95885" b="125730"/>
            <wp:wrapNone/>
            <wp:docPr id="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455" cy="17444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165735</wp:posOffset>
            </wp:positionV>
            <wp:extent cx="2663825" cy="1657985"/>
            <wp:effectExtent l="0" t="0" r="3175" b="18415"/>
            <wp:wrapNone/>
            <wp:docPr id="9512233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2338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CF92A0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03D4AE44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4B1ED813">
      <w:pPr>
        <w:spacing w:line="360" w:lineRule="auto"/>
      </w:pPr>
    </w:p>
    <w:p w14:paraId="76F62F4E">
      <w:pPr>
        <w:spacing w:line="360" w:lineRule="auto"/>
      </w:pPr>
    </w:p>
    <w:p w14:paraId="380D1B54">
      <w:pPr>
        <w:spacing w:line="360" w:lineRule="auto"/>
        <w:rPr>
          <w:rFonts w:hint="eastAsia" w:eastAsia="楷体"/>
          <w:b/>
          <w:sz w:val="28"/>
          <w:szCs w:val="28"/>
        </w:rPr>
      </w:pPr>
    </w:p>
    <w:p w14:paraId="2AA827EF">
      <w:pPr>
        <w:spacing w:line="360" w:lineRule="auto"/>
        <w:rPr>
          <w:rFonts w:eastAsia="楷体"/>
          <w:b/>
          <w:sz w:val="28"/>
          <w:szCs w:val="28"/>
        </w:rPr>
      </w:pPr>
      <w:r>
        <w:rPr>
          <w:rFonts w:hint="eastAsia" w:eastAsia="楷体"/>
          <w:b/>
          <w:sz w:val="28"/>
          <w:szCs w:val="28"/>
        </w:rPr>
        <w:t>二、中心开展项目</w:t>
      </w:r>
    </w:p>
    <w:p w14:paraId="6FBB2C15">
      <w:pPr>
        <w:numPr>
          <w:ilvl w:val="0"/>
          <w:numId w:val="2"/>
        </w:numPr>
        <w:spacing w:line="360" w:lineRule="auto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消化道肿瘤内镜下早期诊断：常规/麻醉/镇静胃肠镜检查、放大胃镜、超声胃镜、超声肠镜等。</w:t>
      </w:r>
    </w:p>
    <w:p w14:paraId="441FABBA">
      <w:pPr>
        <w:numPr>
          <w:ilvl w:val="0"/>
          <w:numId w:val="2"/>
        </w:numPr>
        <w:spacing w:line="360" w:lineRule="auto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 xml:space="preserve">消化道肿瘤内镜下治疗：内镜下黏膜切除术（EMR）、黏膜下层剥离术（ESD）等。 </w:t>
      </w:r>
    </w:p>
    <w:p w14:paraId="0229F46B">
      <w:pPr>
        <w:numPr>
          <w:ilvl w:val="0"/>
          <w:numId w:val="2"/>
        </w:numPr>
        <w:spacing w:line="360" w:lineRule="auto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超声内镜引导下细针穿刺活检（EUS-FNA/FNB）。</w:t>
      </w:r>
    </w:p>
    <w:p w14:paraId="4A201CCC">
      <w:pPr>
        <w:numPr>
          <w:ilvl w:val="0"/>
          <w:numId w:val="2"/>
        </w:numPr>
        <w:spacing w:line="360" w:lineRule="auto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内镜-腔镜联合技术（LECS）。</w:t>
      </w:r>
    </w:p>
    <w:p w14:paraId="36996E62">
      <w:pPr>
        <w:numPr>
          <w:ilvl w:val="0"/>
          <w:numId w:val="2"/>
        </w:numPr>
        <w:spacing w:line="360" w:lineRule="auto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贲门失弛缓症的经口内镜下贲门括约肌切开术（POEM）。</w:t>
      </w:r>
    </w:p>
    <w:p w14:paraId="6DC6EA18">
      <w:pPr>
        <w:numPr>
          <w:ilvl w:val="0"/>
          <w:numId w:val="2"/>
        </w:numPr>
        <w:spacing w:line="360" w:lineRule="auto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内镜逆行胰胆管造影（ERCP）及其相关技术。</w:t>
      </w:r>
    </w:p>
    <w:p w14:paraId="2B8876BE">
      <w:pPr>
        <w:numPr>
          <w:ilvl w:val="0"/>
          <w:numId w:val="2"/>
        </w:numPr>
        <w:spacing w:line="360" w:lineRule="auto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消化道狭窄的扩张及恶性梗阻支架置入技术。</w:t>
      </w:r>
    </w:p>
    <w:p w14:paraId="5C2177A0">
      <w:pPr>
        <w:numPr>
          <w:ilvl w:val="0"/>
          <w:numId w:val="2"/>
        </w:numPr>
        <w:spacing w:line="360" w:lineRule="auto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经皮内镜下胃造瘘技术。</w:t>
      </w:r>
    </w:p>
    <w:p w14:paraId="29C54FAD">
      <w:pPr>
        <w:numPr>
          <w:ilvl w:val="0"/>
          <w:numId w:val="2"/>
        </w:numPr>
        <w:spacing w:line="360" w:lineRule="auto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单气囊小肠镜技术。</w:t>
      </w:r>
    </w:p>
    <w:p w14:paraId="23A9CF2B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eastAsia="楷体"/>
          <w:sz w:val="28"/>
          <w:szCs w:val="28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3021965</wp:posOffset>
            </wp:positionH>
            <wp:positionV relativeFrom="paragraph">
              <wp:posOffset>-12700</wp:posOffset>
            </wp:positionV>
            <wp:extent cx="2383155" cy="1835785"/>
            <wp:effectExtent l="0" t="0" r="0" b="0"/>
            <wp:wrapNone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98"/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1835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-54610</wp:posOffset>
            </wp:positionV>
            <wp:extent cx="2607945" cy="1852930"/>
            <wp:effectExtent l="90805" t="73025" r="101600" b="112395"/>
            <wp:wrapNone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8081" cy="18531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271C6A0B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eastAsia="楷体"/>
          <w:sz w:val="28"/>
          <w:szCs w:val="28"/>
        </w:rPr>
      </w:pPr>
    </w:p>
    <w:p w14:paraId="232D0F28">
      <w:pPr>
        <w:spacing w:line="360" w:lineRule="auto"/>
        <w:rPr>
          <w:rFonts w:hint="eastAsia" w:eastAsia="楷体"/>
          <w:sz w:val="28"/>
          <w:szCs w:val="28"/>
        </w:rPr>
      </w:pPr>
    </w:p>
    <w:p w14:paraId="263E47C8">
      <w:pPr>
        <w:spacing w:line="360" w:lineRule="auto"/>
        <w:rPr>
          <w:rFonts w:hint="eastAsia" w:eastAsia="楷体"/>
          <w:sz w:val="28"/>
          <w:szCs w:val="28"/>
        </w:rPr>
      </w:pPr>
    </w:p>
    <w:p w14:paraId="10730DF1">
      <w:pPr>
        <w:spacing w:line="360" w:lineRule="auto"/>
        <w:rPr>
          <w:rFonts w:hint="eastAsia" w:eastAsia="楷体"/>
          <w:sz w:val="28"/>
          <w:szCs w:val="28"/>
        </w:rPr>
      </w:pPr>
    </w:p>
    <w:p w14:paraId="1A8CE166">
      <w:pPr>
        <w:spacing w:line="360" w:lineRule="auto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84455</wp:posOffset>
            </wp:positionV>
            <wp:extent cx="2692400" cy="1954530"/>
            <wp:effectExtent l="0" t="0" r="12700" b="7620"/>
            <wp:wrapNone/>
            <wp:docPr id="1" name="图片 1" descr="08d242c10f948cb5d04bc07b460df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d242c10f948cb5d04bc07b460df4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269240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2955290</wp:posOffset>
            </wp:positionH>
            <wp:positionV relativeFrom="paragraph">
              <wp:posOffset>83185</wp:posOffset>
            </wp:positionV>
            <wp:extent cx="2520315" cy="1955165"/>
            <wp:effectExtent l="83820" t="78105" r="100965" b="81280"/>
            <wp:wrapNone/>
            <wp:docPr id="4" name="图片 1" descr="8977e3e9690fd7f40f083c13c7920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8977e3e9690fd7f40f083c13c7920d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95516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  <a:softEdge rad="12700"/>
                    </a:effectLst>
                    <a:scene3d>
                      <a:camera prst="orthographicFront"/>
                      <a:lightRig rig="threePt" dir="t">
                        <a:rot lat="0" lon="0" rev="7800000"/>
                      </a:lightRig>
                    </a:scene3d>
                    <a:sp3d extrusionH="6350"/>
                  </pic:spPr>
                </pic:pic>
              </a:graphicData>
            </a:graphic>
          </wp:anchor>
        </w:drawing>
      </w:r>
    </w:p>
    <w:p w14:paraId="3EFCD70E">
      <w:pPr>
        <w:spacing w:line="360" w:lineRule="auto"/>
        <w:rPr>
          <w:rFonts w:hint="eastAsia" w:eastAsia="楷体"/>
          <w:sz w:val="28"/>
          <w:szCs w:val="28"/>
          <w:lang w:eastAsia="zh-CN"/>
        </w:rPr>
      </w:pPr>
    </w:p>
    <w:p w14:paraId="233FEB63">
      <w:pPr>
        <w:spacing w:line="360" w:lineRule="auto"/>
        <w:rPr>
          <w:rFonts w:hint="eastAsia" w:eastAsia="楷体"/>
          <w:sz w:val="28"/>
          <w:szCs w:val="28"/>
        </w:rPr>
      </w:pPr>
    </w:p>
    <w:p w14:paraId="19579051">
      <w:pPr>
        <w:spacing w:line="360" w:lineRule="auto"/>
        <w:rPr>
          <w:rFonts w:hint="eastAsia" w:eastAsia="楷体"/>
          <w:sz w:val="28"/>
          <w:szCs w:val="28"/>
        </w:rPr>
      </w:pPr>
    </w:p>
    <w:p w14:paraId="53050BC9">
      <w:pPr>
        <w:spacing w:line="360" w:lineRule="auto"/>
        <w:rPr>
          <w:rFonts w:hint="eastAsia" w:eastAsia="楷体"/>
          <w:sz w:val="28"/>
          <w:szCs w:val="28"/>
        </w:rPr>
      </w:pPr>
    </w:p>
    <w:p w14:paraId="689A13FF">
      <w:pPr>
        <w:numPr>
          <w:ilvl w:val="0"/>
          <w:numId w:val="0"/>
        </w:numPr>
        <w:spacing w:line="360" w:lineRule="auto"/>
        <w:ind w:leftChars="0"/>
        <w:rPr>
          <w:rFonts w:hint="eastAsia" w:eastAsia="楷体"/>
          <w:sz w:val="28"/>
          <w:szCs w:val="28"/>
          <w:lang w:val="en-US" w:eastAsia="zh-CN"/>
        </w:rPr>
      </w:pPr>
    </w:p>
    <w:p w14:paraId="0885BF52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eastAsia="楷体"/>
          <w:b/>
          <w:bCs/>
          <w:sz w:val="28"/>
          <w:szCs w:val="28"/>
          <w:lang w:val="en-US" w:eastAsia="zh-CN"/>
        </w:rPr>
      </w:pPr>
      <w:r>
        <w:rPr>
          <w:rFonts w:hint="eastAsia" w:eastAsia="楷体"/>
          <w:b/>
          <w:bCs/>
          <w:sz w:val="28"/>
          <w:szCs w:val="28"/>
          <w:lang w:val="en-US" w:eastAsia="zh-CN"/>
        </w:rPr>
        <w:t>学科及学术带头人、技术骨干情况</w:t>
      </w:r>
    </w:p>
    <w:p w14:paraId="6DA61F02">
      <w:pPr>
        <w:rPr>
          <w:rFonts w:ascii="华文楷体" w:hAnsi="华文楷体" w:eastAsia="华文楷体" w:cs="Times New Roman"/>
          <w:sz w:val="28"/>
          <w:szCs w:val="28"/>
        </w:rPr>
      </w:pPr>
      <w:r>
        <w:rPr>
          <w:rFonts w:hint="eastAsia" w:ascii="华文楷体" w:hAnsi="华文楷体" w:eastAsia="华文楷体" w:cs="Times New Roman"/>
          <w:b/>
          <w:bCs/>
          <w:sz w:val="28"/>
          <w:szCs w:val="28"/>
        </w:rPr>
        <w:t>施宏</w:t>
      </w:r>
      <w:r>
        <w:rPr>
          <w:rFonts w:hint="eastAsia" w:ascii="华文楷体" w:hAnsi="华文楷体" w:eastAsia="华文楷体" w:cs="Times New Roman"/>
          <w:b/>
          <w:bCs/>
          <w:sz w:val="28"/>
          <w:szCs w:val="28"/>
          <w:lang w:eastAsia="zh-CN"/>
        </w:rPr>
        <w:t>，</w:t>
      </w:r>
      <w:r>
        <w:rPr>
          <w:rFonts w:hint="eastAsia" w:ascii="华文楷体" w:hAnsi="华文楷体" w:eastAsia="华文楷体" w:cs="Times New Roman"/>
          <w:sz w:val="28"/>
          <w:szCs w:val="28"/>
        </w:rPr>
        <w:t>中国抗癌协会肿瘤内镜学专业委员会副主任委员，中国抗癌协会肿瘤内镜学专业委员会结直肠肿瘤学组组长，福建省抗癌协会肿瘤内镜学专业委员会</w:t>
      </w:r>
      <w:r>
        <w:rPr>
          <w:rFonts w:hint="eastAsia" w:ascii="华文楷体" w:hAnsi="华文楷体" w:eastAsia="华文楷体" w:cs="Times New Roman"/>
          <w:sz w:val="28"/>
          <w:szCs w:val="28"/>
          <w:lang w:val="en-US" w:eastAsia="zh-CN"/>
        </w:rPr>
        <w:t>名誉</w:t>
      </w:r>
      <w:r>
        <w:rPr>
          <w:rFonts w:hint="eastAsia" w:ascii="华文楷体" w:hAnsi="华文楷体" w:eastAsia="华文楷体" w:cs="Times New Roman"/>
          <w:sz w:val="28"/>
          <w:szCs w:val="28"/>
        </w:rPr>
        <w:t>主任委员，中国医师协会内镜医师分会委员，中国医师协会内镜医师分会消化内镜专业委员会委员，</w:t>
      </w:r>
      <w:r>
        <w:rPr>
          <w:rFonts w:ascii="华文楷体" w:hAnsi="华文楷体" w:eastAsia="华文楷体" w:cs="Times New Roman"/>
          <w:sz w:val="28"/>
          <w:szCs w:val="28"/>
        </w:rPr>
        <w:t>中国医师协会ESD医师培训中心主任，中国医师协会内镜医师培训学院导师，福建省医学会消化内镜学分会常委,欧洲消化内镜协会（ESGE）会员</w:t>
      </w:r>
      <w:r>
        <w:rPr>
          <w:rFonts w:hint="eastAsia" w:ascii="华文楷体" w:hAnsi="华文楷体" w:eastAsia="华文楷体" w:cs="Times New Roman"/>
          <w:sz w:val="28"/>
          <w:szCs w:val="28"/>
          <w:lang w:eastAsia="zh-CN"/>
        </w:rPr>
        <w:t>，</w:t>
      </w:r>
      <w:r>
        <w:rPr>
          <w:rFonts w:ascii="华文楷体" w:hAnsi="华文楷体" w:eastAsia="华文楷体" w:cs="Times New Roman"/>
          <w:sz w:val="28"/>
          <w:szCs w:val="28"/>
        </w:rPr>
        <w:t>美国胃肠病学</w:t>
      </w:r>
      <w:r>
        <w:rPr>
          <w:rFonts w:hint="eastAsia" w:ascii="华文楷体" w:hAnsi="华文楷体" w:eastAsia="华文楷体" w:cs="Times New Roman"/>
          <w:sz w:val="28"/>
          <w:szCs w:val="28"/>
        </w:rPr>
        <w:t>院</w:t>
      </w:r>
      <w:r>
        <w:rPr>
          <w:rFonts w:ascii="华文楷体" w:hAnsi="华文楷体" w:eastAsia="华文楷体" w:cs="Times New Roman"/>
          <w:sz w:val="28"/>
          <w:szCs w:val="28"/>
        </w:rPr>
        <w:t>ACG会员，美国胃肠内镜学会</w:t>
      </w:r>
      <w:r>
        <w:rPr>
          <w:rFonts w:hint="eastAsia" w:ascii="华文楷体" w:hAnsi="华文楷体" w:eastAsia="华文楷体" w:cs="Times New Roman"/>
          <w:sz w:val="28"/>
          <w:szCs w:val="28"/>
          <w:lang w:eastAsia="zh-CN"/>
        </w:rPr>
        <w:t>（</w:t>
      </w:r>
      <w:r>
        <w:rPr>
          <w:rFonts w:ascii="华文楷体" w:hAnsi="华文楷体" w:eastAsia="华文楷体" w:cs="Times New Roman"/>
          <w:sz w:val="28"/>
          <w:szCs w:val="28"/>
        </w:rPr>
        <w:t>ASGE</w:t>
      </w:r>
      <w:r>
        <w:rPr>
          <w:rFonts w:hint="eastAsia" w:ascii="华文楷体" w:hAnsi="华文楷体" w:eastAsia="华文楷体" w:cs="Times New Roman"/>
          <w:sz w:val="28"/>
          <w:szCs w:val="28"/>
          <w:lang w:eastAsia="zh-CN"/>
        </w:rPr>
        <w:t>）</w:t>
      </w:r>
      <w:r>
        <w:rPr>
          <w:rFonts w:ascii="华文楷体" w:hAnsi="华文楷体" w:eastAsia="华文楷体" w:cs="Times New Roman"/>
          <w:sz w:val="28"/>
          <w:szCs w:val="28"/>
        </w:rPr>
        <w:t>会员；《世界华人消化杂志》编委、</w:t>
      </w:r>
      <w:bookmarkStart w:id="0" w:name="OLE_LINK1"/>
      <w:r>
        <w:rPr>
          <w:rFonts w:ascii="华文楷体" w:hAnsi="华文楷体" w:eastAsia="华文楷体" w:cs="Times New Roman"/>
          <w:sz w:val="28"/>
          <w:szCs w:val="28"/>
        </w:rPr>
        <w:t>《</w:t>
      </w:r>
      <w:bookmarkEnd w:id="0"/>
      <w:r>
        <w:rPr>
          <w:rFonts w:ascii="华文楷体" w:hAnsi="华文楷体" w:eastAsia="华文楷体" w:cs="Times New Roman"/>
          <w:sz w:val="28"/>
          <w:szCs w:val="28"/>
        </w:rPr>
        <w:t>World Journal of Gastrointestinal Endoscopy》编委、《中国肿瘤临床》审稿专家、《World Journal of Gastroenterology》审稿专家。先后在德国汉堡大学内镜医院师从Nib Soehendra教授、日本癌研究会有明病院</w:t>
      </w:r>
      <w:r>
        <w:rPr>
          <w:rFonts w:hint="eastAsia" w:ascii="华文楷体" w:hAnsi="华文楷体" w:eastAsia="华文楷体" w:cs="Times New Roman"/>
          <w:sz w:val="28"/>
          <w:szCs w:val="28"/>
          <w:lang w:val="en-US" w:eastAsia="zh-CN"/>
        </w:rPr>
        <w:t>师从山本赖正教授</w:t>
      </w:r>
      <w:r>
        <w:rPr>
          <w:rFonts w:ascii="华文楷体" w:hAnsi="华文楷体" w:eastAsia="华文楷体" w:cs="Times New Roman"/>
          <w:sz w:val="28"/>
          <w:szCs w:val="28"/>
        </w:rPr>
        <w:t>、美国埃默里大学医院</w:t>
      </w:r>
      <w:r>
        <w:rPr>
          <w:rFonts w:hint="eastAsia" w:ascii="华文楷体" w:hAnsi="华文楷体" w:eastAsia="华文楷体" w:cs="Times New Roman"/>
          <w:sz w:val="28"/>
          <w:szCs w:val="28"/>
          <w:lang w:val="en-US" w:eastAsia="zh-CN"/>
        </w:rPr>
        <w:t>师从蔡强教授</w:t>
      </w:r>
      <w:r>
        <w:rPr>
          <w:rFonts w:hint="eastAsia" w:ascii="华文楷体" w:hAnsi="华文楷体" w:eastAsia="华文楷体" w:cs="Times New Roman"/>
          <w:sz w:val="28"/>
          <w:szCs w:val="28"/>
          <w:lang w:eastAsia="zh-CN"/>
        </w:rPr>
        <w:t>、</w:t>
      </w:r>
      <w:r>
        <w:rPr>
          <w:rFonts w:hint="eastAsia" w:ascii="华文楷体" w:hAnsi="华文楷体" w:eastAsia="华文楷体" w:cs="Times New Roman"/>
          <w:sz w:val="28"/>
          <w:szCs w:val="28"/>
          <w:lang w:val="en-US" w:eastAsia="zh-CN"/>
        </w:rPr>
        <w:t>香港中文大学消化内镜中心师从赵伟仁教授</w:t>
      </w:r>
      <w:r>
        <w:rPr>
          <w:rFonts w:ascii="华文楷体" w:hAnsi="华文楷体" w:eastAsia="华文楷体" w:cs="Times New Roman"/>
          <w:sz w:val="28"/>
          <w:szCs w:val="28"/>
        </w:rPr>
        <w:t>进修学习。</w:t>
      </w:r>
    </w:p>
    <w:p w14:paraId="3FB27323">
      <w:pPr>
        <w:rPr>
          <w:rFonts w:hint="eastAsia" w:ascii="华文楷体" w:hAnsi="华文楷体" w:eastAsia="华文楷体" w:cs="Times New Roman"/>
          <w:sz w:val="28"/>
          <w:szCs w:val="28"/>
        </w:rPr>
      </w:pPr>
      <w:r>
        <w:rPr>
          <w:rFonts w:hint="eastAsia" w:ascii="华文楷体" w:hAnsi="华文楷体" w:eastAsia="华文楷体" w:cs="Times New Roman"/>
          <w:b/>
          <w:bCs/>
          <w:sz w:val="28"/>
          <w:szCs w:val="28"/>
          <w:lang w:val="en-US" w:eastAsia="zh-CN"/>
        </w:rPr>
        <w:t>陈素玉：</w:t>
      </w:r>
      <w:r>
        <w:rPr>
          <w:rFonts w:hint="eastAsia" w:ascii="华文楷体" w:hAnsi="华文楷体" w:eastAsia="华文楷体" w:cs="Times New Roman"/>
          <w:sz w:val="28"/>
          <w:szCs w:val="28"/>
        </w:rPr>
        <w:t>内科学博士，</w:t>
      </w:r>
      <w:r>
        <w:rPr>
          <w:rFonts w:hint="eastAsia" w:ascii="华文楷体" w:hAnsi="华文楷体" w:eastAsia="华文楷体" w:cs="Times New Roman"/>
          <w:sz w:val="28"/>
          <w:szCs w:val="28"/>
          <w:lang w:val="en-US" w:eastAsia="zh-CN"/>
        </w:rPr>
        <w:t>硕士生导师，</w:t>
      </w:r>
      <w:r>
        <w:rPr>
          <w:rFonts w:hint="eastAsia" w:ascii="华文楷体" w:hAnsi="华文楷体" w:eastAsia="华文楷体" w:cs="Times New Roman"/>
          <w:sz w:val="28"/>
          <w:szCs w:val="28"/>
        </w:rPr>
        <w:t>擅长消化道癌及癌前病变的内镜诊断与治疗，擅长超声内镜（E</w:t>
      </w:r>
      <w:r>
        <w:rPr>
          <w:rFonts w:ascii="华文楷体" w:hAnsi="华文楷体" w:eastAsia="华文楷体" w:cs="Times New Roman"/>
          <w:sz w:val="28"/>
          <w:szCs w:val="28"/>
        </w:rPr>
        <w:t>US</w:t>
      </w:r>
      <w:r>
        <w:rPr>
          <w:rFonts w:hint="eastAsia" w:ascii="华文楷体" w:hAnsi="华文楷体" w:eastAsia="华文楷体" w:cs="Times New Roman"/>
          <w:sz w:val="28"/>
          <w:szCs w:val="28"/>
        </w:rPr>
        <w:t>）下肿瘤的分期和E</w:t>
      </w:r>
      <w:r>
        <w:rPr>
          <w:rFonts w:ascii="华文楷体" w:hAnsi="华文楷体" w:eastAsia="华文楷体" w:cs="Times New Roman"/>
          <w:sz w:val="28"/>
          <w:szCs w:val="28"/>
        </w:rPr>
        <w:t>US</w:t>
      </w:r>
      <w:r>
        <w:rPr>
          <w:rFonts w:hint="eastAsia" w:ascii="华文楷体" w:hAnsi="华文楷体" w:eastAsia="华文楷体" w:cs="Times New Roman"/>
          <w:sz w:val="28"/>
          <w:szCs w:val="28"/>
        </w:rPr>
        <w:t>引导下肿瘤的介入治疗。现为中国抗癌协会肿瘤内镜学专业委员会青年委员，中国抗癌协会肿瘤内镜学</w:t>
      </w:r>
      <w:r>
        <w:rPr>
          <w:rFonts w:ascii="华文楷体" w:hAnsi="华文楷体" w:eastAsia="华文楷体" w:cs="Times New Roman"/>
          <w:sz w:val="28"/>
          <w:szCs w:val="28"/>
        </w:rPr>
        <w:t>EUS</w:t>
      </w:r>
      <w:r>
        <w:rPr>
          <w:rFonts w:hint="eastAsia" w:ascii="华文楷体" w:hAnsi="华文楷体" w:eastAsia="华文楷体" w:cs="Times New Roman"/>
          <w:sz w:val="28"/>
          <w:szCs w:val="28"/>
        </w:rPr>
        <w:t>学组，福建省实验动物学会青年委员会常务委员，福建省医学会消化内镜学分会超声内镜学组委员，福建省抗癌协会肿瘤内镜专业会青年委员会副主任委员，福建省抗癌协会第二届食管癌专业委员会委员。曾在南京大学附属鼓楼医院学习，师从国内著名消化内镜专家邹晓平教授，曾赴日本癌研有明医院进修学习。发表SCI、国家级、省级医学论著多篇，参与编写医学专业书籍、科普书籍数本。担任福建医科大学选修课程《消化内镜技术与临床》授课教师。负责及参与多项省级、厅级科研项目。</w:t>
      </w:r>
    </w:p>
    <w:p w14:paraId="11560164">
      <w:pPr>
        <w:rPr>
          <w:rFonts w:hint="default" w:ascii="华文楷体" w:hAnsi="华文楷体" w:eastAsia="华文楷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Times New Roman"/>
          <w:b/>
          <w:bCs/>
          <w:sz w:val="28"/>
          <w:szCs w:val="28"/>
          <w:lang w:val="en-US" w:eastAsia="zh-CN"/>
        </w:rPr>
        <w:t>谢招飞：</w:t>
      </w:r>
      <w:r>
        <w:rPr>
          <w:rFonts w:hint="eastAsia" w:ascii="华文楷体" w:hAnsi="华文楷体" w:eastAsia="华文楷体" w:cs="Times New Roman"/>
          <w:sz w:val="28"/>
          <w:szCs w:val="28"/>
        </w:rPr>
        <w:t>外科学硕士，现为中国抗癌协会肿瘤内镜学ESD学组成员，中国医师协会ESD学员培训导师，福建省中西医结合专业委员会消化内镜学委员，福建省抗癌协会肿瘤内镜学专业委员会委员，福建省消化内镜学会早癌学组成员。2014年在复旦大学中山医院学习，师从国内著名消化内镜专家周平红教授。2019年在日本癌研有明医院进修学习。擅长消化道癌及癌前病变内镜的诊断与治疗，擅长内镜切除技术，如内镜下粘膜下切除术（ESD），经口内镜下食管肌切开术（POEM），经粘膜下隧道肿物切除术（STER），内镜下全层切除术（EFR）。参与多项省厅级自然科学基金项目。</w:t>
      </w:r>
    </w:p>
    <w:p w14:paraId="6C913764">
      <w:pPr>
        <w:numPr>
          <w:ilvl w:val="0"/>
          <w:numId w:val="1"/>
        </w:numPr>
        <w:ind w:left="0" w:leftChars="0" w:firstLine="0" w:firstLineChars="0"/>
        <w:rPr>
          <w:rFonts w:hint="eastAsia" w:ascii="华文楷体" w:hAnsi="华文楷体" w:eastAsia="华文楷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Times New Roman"/>
          <w:b/>
          <w:bCs/>
          <w:sz w:val="28"/>
          <w:szCs w:val="28"/>
          <w:lang w:val="en-US" w:eastAsia="zh-CN"/>
        </w:rPr>
        <w:t>临床特色及优势</w:t>
      </w:r>
    </w:p>
    <w:p w14:paraId="2E590828">
      <w:pPr>
        <w:numPr>
          <w:ilvl w:val="0"/>
          <w:numId w:val="3"/>
        </w:numPr>
        <w:ind w:leftChars="0"/>
        <w:rPr>
          <w:rFonts w:hint="eastAsia" w:ascii="华文楷体" w:hAnsi="华文楷体" w:eastAsia="华文楷体" w:cs="Times New Roman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Times New Roman"/>
          <w:sz w:val="28"/>
          <w:szCs w:val="28"/>
          <w:lang w:val="en-US" w:eastAsia="zh-CN"/>
        </w:rPr>
        <w:t>早癌诊治技术：包括早期下咽癌、食管癌、贲门癌、胃癌、结直肠癌的内镜下诊断及治疗。其中，诊断包括色素内镜、放大内镜、超声内镜等内镜诊断技术的应用；治疗包括ESD、EMR、射频消融等治疗方式。</w:t>
      </w:r>
    </w:p>
    <w:p w14:paraId="567647F9">
      <w:pPr>
        <w:numPr>
          <w:ilvl w:val="0"/>
          <w:numId w:val="4"/>
        </w:numPr>
        <w:rPr>
          <w:rFonts w:hint="eastAsia" w:ascii="华文楷体" w:hAnsi="华文楷体" w:eastAsia="华文楷体" w:cs="Times New Roman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Times New Roman"/>
          <w:sz w:val="28"/>
          <w:szCs w:val="28"/>
          <w:lang w:val="en-US" w:eastAsia="zh-CN"/>
        </w:rPr>
        <w:t>胰胆系统肿瘤的内镜下诊断及介入治疗：包括EUS、EUS-FNA、ERCP等。</w:t>
      </w:r>
    </w:p>
    <w:p w14:paraId="63821857">
      <w:pPr>
        <w:numPr>
          <w:ilvl w:val="0"/>
          <w:numId w:val="4"/>
        </w:numPr>
        <w:rPr>
          <w:rFonts w:hint="default" w:ascii="华文楷体" w:hAnsi="华文楷体" w:eastAsia="华文楷体" w:cs="Times New Roman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Times New Roman"/>
          <w:sz w:val="28"/>
          <w:szCs w:val="28"/>
          <w:lang w:val="en-US" w:eastAsia="zh-CN"/>
        </w:rPr>
        <w:t>晚期肿瘤的姑息减症治疗：包括营养管、肠梗阻导管置入、胃造瘘、食管及胃肠道支架的置入等。 </w:t>
      </w:r>
    </w:p>
    <w:p w14:paraId="61DC3C46">
      <w:pPr>
        <w:spacing w:line="360" w:lineRule="auto"/>
        <w:rPr>
          <w:rFonts w:hint="eastAsia" w:eastAsia="楷体"/>
          <w:sz w:val="28"/>
          <w:szCs w:val="28"/>
        </w:rPr>
      </w:pPr>
      <w:r>
        <w:rPr>
          <w:rFonts w:hint="eastAsia" w:eastAsia="楷体"/>
          <w:b/>
          <w:bCs/>
          <w:sz w:val="28"/>
          <w:szCs w:val="28"/>
          <w:lang w:val="en-US" w:eastAsia="zh-CN"/>
        </w:rPr>
        <w:t>五</w:t>
      </w:r>
      <w:r>
        <w:rPr>
          <w:rFonts w:hint="eastAsia" w:eastAsia="楷体"/>
          <w:b/>
          <w:bCs/>
          <w:sz w:val="28"/>
          <w:szCs w:val="28"/>
        </w:rPr>
        <w:t>、</w:t>
      </w:r>
      <w:r>
        <w:rPr>
          <w:rStyle w:val="5"/>
          <w:rFonts w:ascii="华文楷体" w:hAnsi="华文楷体" w:eastAsia="华文楷体"/>
          <w:sz w:val="28"/>
          <w:szCs w:val="28"/>
        </w:rPr>
        <w:t>进修培训内容和特点</w:t>
      </w:r>
    </w:p>
    <w:p w14:paraId="69E5DCA9">
      <w:pPr>
        <w:pStyle w:val="2"/>
        <w:spacing w:before="0" w:beforeAutospacing="0" w:after="0" w:afterAutospacing="0"/>
        <w:rPr>
          <w:rFonts w:ascii="华文楷体" w:hAnsi="华文楷体" w:eastAsia="华文楷体"/>
          <w:b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1、丰富的学习机会：除门诊、内镜带教外，科室</w:t>
      </w:r>
      <w:r>
        <w:rPr>
          <w:rFonts w:hint="eastAsia" w:ascii="华文楷体" w:hAnsi="华文楷体" w:eastAsia="华文楷体"/>
          <w:sz w:val="28"/>
          <w:szCs w:val="28"/>
        </w:rPr>
        <w:t>定期开展</w:t>
      </w:r>
      <w:r>
        <w:rPr>
          <w:rFonts w:ascii="华文楷体" w:hAnsi="华文楷体" w:eastAsia="华文楷体"/>
          <w:sz w:val="28"/>
          <w:szCs w:val="28"/>
        </w:rPr>
        <w:t>培训讲课，每周开展疑难手术病例讨论。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此</w:t>
      </w:r>
      <w:r>
        <w:rPr>
          <w:rFonts w:ascii="华文楷体" w:hAnsi="华文楷体" w:eastAsia="华文楷体"/>
          <w:sz w:val="28"/>
          <w:szCs w:val="28"/>
        </w:rPr>
        <w:t>外，科室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定期召开胰胆系统肿瘤、食管肿瘤、胃癌及结肠肿瘤内镜诊治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  <w:lang w:val="en-US" w:eastAsia="zh-CN"/>
        </w:rPr>
        <w:t>MDT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沙龙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</w:rPr>
        <w:t>、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超声内镜培训班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</w:rPr>
        <w:t>等</w:t>
      </w:r>
      <w:r>
        <w:rPr>
          <w:rFonts w:ascii="华文楷体" w:hAnsi="华文楷体" w:eastAsia="华文楷体"/>
          <w:b/>
          <w:sz w:val="28"/>
          <w:szCs w:val="28"/>
        </w:rPr>
        <w:t>，</w:t>
      </w:r>
      <w:r>
        <w:rPr>
          <w:rFonts w:ascii="华文楷体" w:hAnsi="华文楷体" w:eastAsia="华文楷体"/>
          <w:sz w:val="28"/>
          <w:szCs w:val="28"/>
        </w:rPr>
        <w:t>均向所有进修医师开放</w:t>
      </w:r>
      <w:r>
        <w:rPr>
          <w:rFonts w:ascii="华文楷体" w:hAnsi="华文楷体" w:eastAsia="华文楷体"/>
          <w:b/>
          <w:sz w:val="28"/>
          <w:szCs w:val="28"/>
        </w:rPr>
        <w:t>。</w:t>
      </w:r>
    </w:p>
    <w:p w14:paraId="6C89842F">
      <w:pPr>
        <w:pStyle w:val="2"/>
        <w:spacing w:before="0" w:beforeAutospacing="0" w:after="0" w:afterAutospacing="0"/>
        <w:rPr>
          <w:rFonts w:ascii="华文楷体" w:hAnsi="华文楷体" w:eastAsia="华文楷体"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2、充分的实践机会：学员将全程参与大量临床实践工作，包括各种消化道内镜检查、</w:t>
      </w:r>
      <w:r>
        <w:rPr>
          <w:rFonts w:hint="eastAsia" w:ascii="华文楷体" w:hAnsi="华文楷体" w:eastAsia="华文楷体"/>
          <w:sz w:val="28"/>
          <w:szCs w:val="28"/>
        </w:rPr>
        <w:t>治疗、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围手术期患者</w:t>
      </w:r>
      <w:r>
        <w:rPr>
          <w:rFonts w:ascii="华文楷体" w:hAnsi="华文楷体" w:eastAsia="华文楷体"/>
          <w:sz w:val="28"/>
          <w:szCs w:val="28"/>
        </w:rPr>
        <w:t>管理以及各种</w:t>
      </w:r>
      <w:r>
        <w:rPr>
          <w:rFonts w:hint="eastAsia" w:ascii="华文楷体" w:hAnsi="华文楷体" w:eastAsia="华文楷体"/>
          <w:sz w:val="28"/>
          <w:szCs w:val="28"/>
        </w:rPr>
        <w:t>外科术后并发症的内镜下处理</w:t>
      </w:r>
      <w:r>
        <w:rPr>
          <w:rFonts w:ascii="华文楷体" w:hAnsi="华文楷体" w:eastAsia="华文楷体"/>
          <w:sz w:val="28"/>
          <w:szCs w:val="28"/>
        </w:rPr>
        <w:t>等。</w:t>
      </w:r>
    </w:p>
    <w:p w14:paraId="7EAB14D3">
      <w:pPr>
        <w:pStyle w:val="2"/>
        <w:spacing w:before="0" w:beforeAutospacing="0" w:after="0" w:afterAutospacing="0"/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</w:rPr>
      </w:pPr>
      <w:r>
        <w:rPr>
          <w:rFonts w:ascii="华文楷体" w:hAnsi="华文楷体" w:eastAsia="华文楷体"/>
          <w:spacing w:val="8"/>
          <w:sz w:val="28"/>
          <w:szCs w:val="28"/>
          <w:shd w:val="clear" w:color="auto" w:fill="FFFFFF"/>
        </w:rPr>
        <w:t>3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</w:rPr>
        <w:t>、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val="en-US" w:eastAsia="zh-CN"/>
        </w:rPr>
        <w:t>创新性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</w:rPr>
        <w:t>模拟培训:</w:t>
      </w:r>
    </w:p>
    <w:p w14:paraId="1FCFD0E1">
      <w:pPr>
        <w:pStyle w:val="2"/>
        <w:spacing w:before="0" w:beforeAutospacing="0" w:after="0" w:afterAutospacing="0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</w:rPr>
        <w:t>中心引进先进模拟设备，可开展上消化道内镜、结肠镜标准操作等消化内镜培训，零基础的学员可进行简单内镜模拟操作训练。</w:t>
      </w:r>
    </w:p>
    <w:p w14:paraId="058CDCD5">
      <w:pPr>
        <w:pStyle w:val="2"/>
        <w:spacing w:before="0" w:beforeAutospacing="0" w:after="0" w:afterAutospacing="0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</w:rPr>
        <w:t>体外培训体系：为了更好地促进学员操作技术水平的提高，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val="en-US" w:eastAsia="zh-CN"/>
        </w:rPr>
        <w:t>内镜中心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</w:rPr>
        <w:t>为学员制定离体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val="en-US" w:eastAsia="zh-CN"/>
        </w:rPr>
        <w:t>动物（猪）食管及胃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</w:rPr>
        <w:t>的ESD、EMR、内镜下创面封闭等培训内容，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val="en-US" w:eastAsia="zh-CN"/>
        </w:rPr>
        <w:t>对操作能力较强的学员安排活体动物（猪）的ESD培训，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</w:rPr>
        <w:t>让进修医生更加熟练使用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val="en-US" w:eastAsia="zh-CN"/>
        </w:rPr>
        <w:t>各种内镜耗材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</w:rPr>
        <w:t>、高频电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val="en-US" w:eastAsia="zh-CN"/>
        </w:rPr>
        <w:t>刀等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</w:rPr>
        <w:t>，为进行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  <w:lang w:val="en-US" w:eastAsia="zh-CN"/>
        </w:rPr>
        <w:t>内镜下实践操作奠定坚实的基础</w:t>
      </w:r>
      <w:r>
        <w:rPr>
          <w:rFonts w:hint="eastAsia" w:ascii="华文楷体" w:hAnsi="华文楷体" w:eastAsia="华文楷体"/>
          <w:spacing w:val="8"/>
          <w:sz w:val="28"/>
          <w:szCs w:val="28"/>
          <w:shd w:val="clear" w:color="auto" w:fill="FFFFFF"/>
        </w:rPr>
        <w:t>。</w:t>
      </w:r>
    </w:p>
    <w:p w14:paraId="54978AE6">
      <w:pPr>
        <w:pStyle w:val="2"/>
        <w:spacing w:before="0" w:beforeAutospacing="0" w:after="0" w:afterAutospacing="0"/>
        <w:rPr>
          <w:rFonts w:hint="eastAsia" w:ascii="华文楷体" w:hAnsi="华文楷体" w:eastAsia="华文楷体"/>
          <w:sz w:val="28"/>
          <w:szCs w:val="28"/>
        </w:rPr>
      </w:pPr>
      <w:r>
        <w:rPr>
          <w:rStyle w:val="5"/>
          <w:rFonts w:hint="eastAsia" w:ascii="华文楷体" w:hAnsi="华文楷体" w:eastAsia="华文楷体"/>
          <w:sz w:val="28"/>
          <w:szCs w:val="28"/>
          <w:lang w:val="en-US" w:eastAsia="zh-CN"/>
        </w:rPr>
        <w:t>六</w:t>
      </w:r>
      <w:r>
        <w:rPr>
          <w:rStyle w:val="5"/>
          <w:rFonts w:hint="eastAsia" w:ascii="华文楷体" w:hAnsi="华文楷体" w:eastAsia="华文楷体"/>
          <w:sz w:val="28"/>
          <w:szCs w:val="28"/>
        </w:rPr>
        <w:t>、</w:t>
      </w:r>
      <w:r>
        <w:rPr>
          <w:rStyle w:val="5"/>
          <w:rFonts w:hint="eastAsia" w:ascii="华文楷体" w:hAnsi="华文楷体" w:eastAsia="华文楷体"/>
          <w:sz w:val="28"/>
          <w:szCs w:val="28"/>
          <w:lang w:val="en-US" w:eastAsia="zh-CN"/>
        </w:rPr>
        <w:t>研</w:t>
      </w:r>
      <w:r>
        <w:rPr>
          <w:rStyle w:val="5"/>
          <w:rFonts w:ascii="华文楷体" w:hAnsi="华文楷体" w:eastAsia="华文楷体"/>
          <w:sz w:val="28"/>
          <w:szCs w:val="28"/>
        </w:rPr>
        <w:t>修要求及事项</w:t>
      </w:r>
    </w:p>
    <w:p w14:paraId="74A2993B">
      <w:pPr>
        <w:pStyle w:val="2"/>
        <w:spacing w:before="0" w:beforeAutospacing="0" w:after="0" w:afterAutospacing="0"/>
        <w:rPr>
          <w:rFonts w:hint="eastAsia" w:ascii="华文楷体" w:hAnsi="华文楷体" w:eastAsia="华文楷体"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1．热爱内镜临床工作，品学兼优，身体健康，责任心强，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吃苦耐劳</w:t>
      </w:r>
      <w:r>
        <w:rPr>
          <w:rFonts w:ascii="华文楷体" w:hAnsi="华文楷体" w:eastAsia="华文楷体"/>
          <w:sz w:val="28"/>
          <w:szCs w:val="28"/>
        </w:rPr>
        <w:t>，具有良好的专业素质和职业道德。</w:t>
      </w:r>
    </w:p>
    <w:p w14:paraId="3AF2F116">
      <w:pPr>
        <w:pStyle w:val="2"/>
        <w:spacing w:before="0" w:beforeAutospacing="0" w:after="0" w:afterAutospacing="0"/>
        <w:rPr>
          <w:rFonts w:hint="eastAsia" w:ascii="华文楷体" w:hAnsi="华文楷体" w:eastAsia="华文楷体"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2．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研修</w:t>
      </w:r>
      <w:r>
        <w:rPr>
          <w:rFonts w:ascii="华文楷体" w:hAnsi="华文楷体" w:eastAsia="华文楷体"/>
          <w:sz w:val="28"/>
          <w:szCs w:val="28"/>
        </w:rPr>
        <w:t>医师：具有本科以上学历，已获得临床执业医师执照；从事内镜工作两年以上，年龄不大于45周岁。</w:t>
      </w:r>
    </w:p>
    <w:p w14:paraId="59A6C2ED">
      <w:pPr>
        <w:pStyle w:val="2"/>
        <w:spacing w:before="0" w:beforeAutospacing="0" w:after="0" w:afterAutospacing="0"/>
        <w:rPr>
          <w:rFonts w:hint="eastAsia" w:ascii="华文楷体" w:hAnsi="华文楷体" w:eastAsia="华文楷体"/>
          <w:b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3．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进修期限为6个月或12个月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  <w:lang w:eastAsia="zh-CN"/>
        </w:rPr>
        <w:t>（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  <w:lang w:val="en-US" w:eastAsia="zh-CN"/>
        </w:rPr>
        <w:t>内镜护理可3个月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  <w:lang w:eastAsia="zh-CN"/>
        </w:rPr>
        <w:t>）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。特殊要求请联系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  <w:lang w:val="en-US" w:eastAsia="zh-CN"/>
        </w:rPr>
        <w:t>消化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内镜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</w:rPr>
        <w:t>中心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联系人。</w:t>
      </w:r>
      <w:bookmarkStart w:id="1" w:name="_GoBack"/>
      <w:bookmarkEnd w:id="1"/>
    </w:p>
    <w:p w14:paraId="0759F928">
      <w:pPr>
        <w:pStyle w:val="2"/>
        <w:spacing w:before="0" w:beforeAutospacing="0" w:after="0" w:afterAutospacing="0"/>
        <w:rPr>
          <w:rFonts w:ascii="华文楷体" w:hAnsi="华文楷体" w:eastAsia="华文楷体"/>
          <w:b/>
          <w:bCs/>
          <w:sz w:val="28"/>
          <w:szCs w:val="28"/>
        </w:rPr>
      </w:pPr>
      <w:r>
        <w:rPr>
          <w:rFonts w:hint="eastAsia" w:ascii="华文楷体" w:hAnsi="华文楷体" w:eastAsia="华文楷体"/>
          <w:b/>
          <w:bCs/>
          <w:sz w:val="28"/>
          <w:szCs w:val="28"/>
          <w:lang w:val="en-US" w:eastAsia="zh-CN"/>
        </w:rPr>
        <w:t>七、</w:t>
      </w:r>
      <w:r>
        <w:rPr>
          <w:rFonts w:ascii="华文楷体" w:hAnsi="华文楷体" w:eastAsia="华文楷体"/>
          <w:b/>
          <w:bCs/>
          <w:sz w:val="28"/>
          <w:szCs w:val="28"/>
        </w:rPr>
        <w:t>申请程序</w:t>
      </w:r>
    </w:p>
    <w:p w14:paraId="4A524D9C">
      <w:pPr>
        <w:pStyle w:val="2"/>
        <w:spacing w:before="0" w:beforeAutospacing="0" w:after="0" w:afterAutospacing="0"/>
        <w:rPr>
          <w:rFonts w:hint="eastAsia" w:ascii="华文楷体" w:hAnsi="华文楷体" w:eastAsia="华文楷体"/>
          <w:sz w:val="28"/>
          <w:szCs w:val="28"/>
          <w:lang w:eastAsia="zh-CN"/>
        </w:rPr>
      </w:pPr>
      <w:r>
        <w:rPr>
          <w:rFonts w:ascii="华文楷体" w:hAnsi="华文楷体" w:eastAsia="华文楷体"/>
          <w:sz w:val="28"/>
          <w:szCs w:val="28"/>
        </w:rPr>
        <w:t>1、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登录</w:t>
      </w:r>
      <w:r>
        <w:rPr>
          <w:rFonts w:hint="eastAsia" w:ascii="华文楷体" w:hAnsi="华文楷体" w:eastAsia="华文楷体"/>
          <w:sz w:val="28"/>
          <w:szCs w:val="28"/>
        </w:rPr>
        <w:t>官网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申请进修、</w:t>
      </w:r>
      <w:r>
        <w:rPr>
          <w:rFonts w:hint="eastAsia" w:ascii="华文楷体" w:hAnsi="华文楷体" w:eastAsia="华文楷体"/>
          <w:sz w:val="28"/>
          <w:szCs w:val="28"/>
        </w:rPr>
        <w:t>下载进修申请表</w:t>
      </w:r>
      <w:r>
        <w:rPr>
          <w:rFonts w:hint="eastAsia" w:ascii="华文楷体" w:hAnsi="华文楷体" w:eastAsia="华文楷体"/>
          <w:sz w:val="28"/>
          <w:szCs w:val="28"/>
          <w:lang w:eastAsia="zh-CN"/>
        </w:rPr>
        <w:t>：</w:t>
      </w:r>
      <w:r>
        <w:fldChar w:fldCharType="begin"/>
      </w:r>
      <w:r>
        <w:instrText xml:space="preserve"> HYPERLINK "https://www.fjzl.com.cn/fjsykdx/yxjxjy/" </w:instrText>
      </w:r>
      <w:r>
        <w:fldChar w:fldCharType="separate"/>
      </w:r>
      <w:r>
        <w:rPr>
          <w:rStyle w:val="6"/>
          <w:rFonts w:ascii="华文楷体" w:hAnsi="华文楷体" w:eastAsia="华文楷体"/>
          <w:sz w:val="28"/>
          <w:szCs w:val="28"/>
        </w:rPr>
        <w:t>https://www.fjzl.com.cn/fjsykdx/yxjxjy/</w:t>
      </w:r>
      <w:r>
        <w:rPr>
          <w:rStyle w:val="6"/>
          <w:rFonts w:ascii="华文楷体" w:hAnsi="华文楷体" w:eastAsia="华文楷体"/>
          <w:sz w:val="28"/>
          <w:szCs w:val="28"/>
        </w:rPr>
        <w:fldChar w:fldCharType="end"/>
      </w:r>
      <w:r>
        <w:rPr>
          <w:rFonts w:hint="eastAsia" w:ascii="华文楷体" w:hAnsi="华文楷体" w:eastAsia="华文楷体"/>
          <w:sz w:val="28"/>
          <w:szCs w:val="28"/>
          <w:lang w:eastAsia="zh-CN"/>
        </w:rPr>
        <w:t>（</w:t>
      </w:r>
      <w:r>
        <w:rPr>
          <w:rFonts w:ascii="华文楷体" w:hAnsi="华文楷体" w:eastAsia="华文楷体"/>
          <w:sz w:val="28"/>
          <w:szCs w:val="28"/>
        </w:rPr>
        <w:t>提前10个工作日提交申请材料电子版预审核</w:t>
      </w:r>
      <w:r>
        <w:rPr>
          <w:rFonts w:hint="eastAsia" w:ascii="华文楷体" w:hAnsi="华文楷体" w:eastAsia="华文楷体"/>
          <w:sz w:val="28"/>
          <w:szCs w:val="28"/>
          <w:lang w:eastAsia="zh-CN"/>
        </w:rPr>
        <w:t>）</w:t>
      </w:r>
    </w:p>
    <w:p w14:paraId="1DFC701B">
      <w:pPr>
        <w:pStyle w:val="2"/>
        <w:spacing w:before="0" w:beforeAutospacing="0" w:after="0" w:afterAutospacing="0"/>
        <w:rPr>
          <w:rFonts w:ascii="华文楷体" w:hAnsi="华文楷体" w:eastAsia="华文楷体"/>
          <w:sz w:val="28"/>
          <w:szCs w:val="28"/>
        </w:rPr>
      </w:pPr>
      <w:r>
        <w:rPr>
          <w:rFonts w:ascii="华文楷体" w:hAnsi="华文楷体" w:eastAsia="华文楷体"/>
          <w:sz w:val="28"/>
          <w:szCs w:val="28"/>
        </w:rPr>
        <w:t>2、报到时提交的纸制材料：A单位介绍信，B进修申请表，C证书复印件（毕业证，医师/技师/护师证，执业医师/护师证），以上材料</w:t>
      </w:r>
      <w:r>
        <w:rPr>
          <w:rFonts w:hint="eastAsia" w:ascii="华文楷体" w:hAnsi="华文楷体" w:eastAsia="华文楷体"/>
          <w:sz w:val="28"/>
          <w:szCs w:val="28"/>
        </w:rPr>
        <w:t>须加盖</w:t>
      </w:r>
      <w:r>
        <w:rPr>
          <w:rFonts w:ascii="华文楷体" w:hAnsi="华文楷体" w:eastAsia="华文楷体"/>
          <w:sz w:val="28"/>
          <w:szCs w:val="28"/>
        </w:rPr>
        <w:t>单位公章。</w:t>
      </w:r>
    </w:p>
    <w:p w14:paraId="0F34D2FC">
      <w:pPr>
        <w:pStyle w:val="2"/>
        <w:spacing w:before="0" w:beforeAutospacing="0" w:after="0" w:afterAutospacing="0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3、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进修费用：进修费100元/月（医联体单位免收），进修时间1年以上提供住宿，住宿费120元/月，水电费另行结算</w:t>
      </w:r>
      <w:r>
        <w:rPr>
          <w:rFonts w:ascii="华文楷体" w:hAnsi="华文楷体" w:eastAsia="华文楷体"/>
          <w:sz w:val="28"/>
          <w:szCs w:val="28"/>
        </w:rPr>
        <w:t>。</w:t>
      </w:r>
    </w:p>
    <w:p w14:paraId="3847B3B1">
      <w:pPr>
        <w:pStyle w:val="2"/>
        <w:spacing w:before="0" w:beforeAutospacing="0" w:after="0" w:afterAutospacing="0"/>
        <w:rPr>
          <w:rFonts w:hint="eastAsia" w:ascii="华文楷体" w:hAnsi="华文楷体" w:eastAsia="华文楷体"/>
          <w:sz w:val="28"/>
          <w:szCs w:val="28"/>
        </w:rPr>
      </w:pPr>
      <w:r>
        <w:rPr>
          <w:rStyle w:val="5"/>
          <w:rFonts w:hint="eastAsia" w:ascii="华文楷体" w:hAnsi="华文楷体" w:eastAsia="华文楷体"/>
          <w:sz w:val="28"/>
          <w:szCs w:val="28"/>
          <w:lang w:val="en-US" w:eastAsia="zh-CN"/>
        </w:rPr>
        <w:t>八</w:t>
      </w:r>
      <w:r>
        <w:rPr>
          <w:rStyle w:val="5"/>
          <w:rFonts w:hint="eastAsia" w:ascii="华文楷体" w:hAnsi="华文楷体" w:eastAsia="华文楷体"/>
          <w:sz w:val="28"/>
          <w:szCs w:val="28"/>
        </w:rPr>
        <w:t>、</w:t>
      </w:r>
      <w:r>
        <w:rPr>
          <w:rStyle w:val="5"/>
          <w:rFonts w:ascii="华文楷体" w:hAnsi="华文楷体" w:eastAsia="华文楷体"/>
          <w:sz w:val="28"/>
          <w:szCs w:val="28"/>
        </w:rPr>
        <w:t>咨询联系方式</w:t>
      </w:r>
    </w:p>
    <w:p w14:paraId="730B7EBB">
      <w:pPr>
        <w:pStyle w:val="2"/>
        <w:spacing w:before="0" w:beforeAutospacing="0" w:after="0" w:afterAutospacing="0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sz w:val="28"/>
          <w:szCs w:val="28"/>
        </w:rPr>
        <w:t>福建省肿瘤医院</w:t>
      </w:r>
      <w:r>
        <w:rPr>
          <w:rFonts w:hint="eastAsia" w:ascii="华文楷体" w:hAnsi="华文楷体" w:eastAsia="华文楷体"/>
          <w:sz w:val="28"/>
          <w:szCs w:val="28"/>
          <w:lang w:val="en-US" w:eastAsia="zh-CN"/>
        </w:rPr>
        <w:t>消化</w:t>
      </w:r>
      <w:r>
        <w:rPr>
          <w:rFonts w:hint="eastAsia" w:ascii="华文楷体" w:hAnsi="华文楷体" w:eastAsia="华文楷体"/>
          <w:sz w:val="28"/>
          <w:szCs w:val="28"/>
        </w:rPr>
        <w:t>内镜中心</w:t>
      </w:r>
      <w:r>
        <w:rPr>
          <w:rFonts w:ascii="华文楷体" w:hAnsi="华文楷体" w:eastAsia="华文楷体"/>
          <w:sz w:val="28"/>
          <w:szCs w:val="28"/>
        </w:rPr>
        <w:t> </w:t>
      </w:r>
    </w:p>
    <w:p w14:paraId="3B3867A8">
      <w:pPr>
        <w:pStyle w:val="2"/>
        <w:spacing w:before="0" w:beforeAutospacing="0" w:after="0" w:afterAutospacing="0"/>
        <w:rPr>
          <w:rFonts w:ascii="华文楷体" w:hAnsi="华文楷体" w:eastAsia="华文楷体"/>
          <w:b/>
          <w:sz w:val="28"/>
          <w:szCs w:val="28"/>
        </w:rPr>
      </w:pPr>
      <w:r>
        <w:rPr>
          <w:rStyle w:val="5"/>
          <w:rFonts w:ascii="华文楷体" w:hAnsi="华文楷体" w:eastAsia="华文楷体"/>
          <w:b w:val="0"/>
          <w:sz w:val="28"/>
          <w:szCs w:val="28"/>
        </w:rPr>
        <w:t>内镜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</w:rPr>
        <w:t>中心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：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</w:rPr>
        <w:t>林丽琳</w:t>
      </w:r>
      <w:r>
        <w:rPr>
          <w:rFonts w:ascii="华文楷体" w:hAnsi="华文楷体" w:eastAsia="华文楷体"/>
          <w:b/>
          <w:sz w:val="28"/>
          <w:szCs w:val="28"/>
        </w:rPr>
        <w:t> </w:t>
      </w:r>
    </w:p>
    <w:p w14:paraId="0F1EEEDB">
      <w:pPr>
        <w:pStyle w:val="2"/>
        <w:spacing w:before="0" w:beforeAutospacing="0" w:after="0" w:afterAutospacing="0"/>
        <w:rPr>
          <w:rFonts w:hint="eastAsia" w:ascii="华文楷体" w:hAnsi="华文楷体" w:eastAsia="华文楷体"/>
          <w:sz w:val="28"/>
          <w:szCs w:val="28"/>
        </w:rPr>
      </w:pPr>
      <w:r>
        <w:rPr>
          <w:rStyle w:val="5"/>
          <w:rFonts w:ascii="华文楷体" w:hAnsi="华文楷体" w:eastAsia="华文楷体"/>
          <w:b w:val="0"/>
          <w:sz w:val="28"/>
          <w:szCs w:val="28"/>
        </w:rPr>
        <w:t>联系电话</w:t>
      </w:r>
      <w:r>
        <w:rPr>
          <w:rFonts w:ascii="华文楷体" w:hAnsi="华文楷体" w:eastAsia="华文楷体"/>
          <w:sz w:val="28"/>
          <w:szCs w:val="28"/>
        </w:rPr>
        <w:t>：15659035668</w:t>
      </w:r>
    </w:p>
    <w:p w14:paraId="6926EF80">
      <w:pPr>
        <w:pStyle w:val="2"/>
        <w:spacing w:before="0" w:beforeAutospacing="0" w:after="0" w:afterAutospacing="0"/>
        <w:rPr>
          <w:rFonts w:hint="eastAsia" w:ascii="华文楷体" w:hAnsi="华文楷体" w:eastAsia="华文楷体"/>
          <w:sz w:val="28"/>
          <w:szCs w:val="28"/>
        </w:rPr>
      </w:pPr>
      <w:r>
        <w:rPr>
          <w:rStyle w:val="5"/>
          <w:rFonts w:hint="eastAsia" w:ascii="华文楷体" w:hAnsi="华文楷体" w:eastAsia="华文楷体"/>
          <w:b w:val="0"/>
          <w:sz w:val="28"/>
          <w:szCs w:val="28"/>
        </w:rPr>
        <w:t>福建省肿瘤医院教育处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 ：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  <w:lang w:val="en-US" w:eastAsia="zh-CN"/>
        </w:rPr>
        <w:t>贾老师</w:t>
      </w:r>
      <w:r>
        <w:rPr>
          <w:rStyle w:val="5"/>
          <w:rFonts w:hint="eastAsia" w:ascii="华文楷体" w:hAnsi="华文楷体" w:eastAsia="华文楷体"/>
          <w:b w:val="0"/>
          <w:sz w:val="28"/>
          <w:szCs w:val="28"/>
        </w:rPr>
        <w:t>0</w:t>
      </w:r>
      <w:r>
        <w:rPr>
          <w:rStyle w:val="5"/>
          <w:rFonts w:ascii="华文楷体" w:hAnsi="华文楷体" w:eastAsia="华文楷体"/>
          <w:b w:val="0"/>
          <w:sz w:val="28"/>
          <w:szCs w:val="28"/>
        </w:rPr>
        <w:t>591-62002023</w:t>
      </w:r>
      <w:r>
        <w:rPr>
          <w:rFonts w:ascii="华文楷体" w:hAnsi="华文楷体" w:eastAsia="华文楷体"/>
          <w:sz w:val="28"/>
          <w:szCs w:val="28"/>
        </w:rPr>
        <w:drawing>
          <wp:inline distT="0" distB="0" distL="0" distR="0">
            <wp:extent cx="6096000" cy="502920"/>
            <wp:effectExtent l="0" t="0" r="0" b="0"/>
            <wp:docPr id="1026" name="图片 1" descr="图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图片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029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B49E3">
      <w:pPr>
        <w:rPr>
          <w:rFonts w:hint="eastAsia" w:ascii="华文楷体" w:hAnsi="华文楷体" w:eastAsia="华文楷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B4A699"/>
    <w:multiLevelType w:val="singleLevel"/>
    <w:tmpl w:val="FEB4A69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0"/>
    <w:multiLevelType w:val="multilevel"/>
    <w:tmpl w:val="00000000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66C55D"/>
    <w:multiLevelType w:val="singleLevel"/>
    <w:tmpl w:val="0B66C55D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CC0A4DB"/>
    <w:multiLevelType w:val="singleLevel"/>
    <w:tmpl w:val="5CC0A4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xOWM4NzhlNzgzMzBlNjU5M2UxYjEzYThkNmNiZGQifQ=="/>
  </w:docVars>
  <w:rsids>
    <w:rsidRoot w:val="00000000"/>
    <w:rsid w:val="07930F51"/>
    <w:rsid w:val="07C479F7"/>
    <w:rsid w:val="15AB5373"/>
    <w:rsid w:val="162C6245"/>
    <w:rsid w:val="16404216"/>
    <w:rsid w:val="33A87014"/>
    <w:rsid w:val="417D0E15"/>
    <w:rsid w:val="57081035"/>
    <w:rsid w:val="57BA5DA3"/>
    <w:rsid w:val="5E2152FD"/>
    <w:rsid w:val="6C664913"/>
    <w:rsid w:val="6CF6617C"/>
    <w:rsid w:val="766A2DD4"/>
    <w:rsid w:val="7A82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2828</Words>
  <Characters>3145</Characters>
  <Paragraphs>33</Paragraphs>
  <TotalTime>11</TotalTime>
  <ScaleCrop>false</ScaleCrop>
  <LinksUpToDate>false</LinksUpToDate>
  <CharactersWithSpaces>3158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2024-03-25T09:26:00Z</dcterms:created>
  <dc:creator>Administrator</dc:creator>
  <cp:lastModifiedBy>采采</cp:lastModifiedBy>
  <cp:lastPrinted>2024-12-31T00:52:00Z</cp:lastPrinted>
  <dcterms:modified xsi:type="dcterms:W3CDTF">2025-01-15T08:31:32Z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76C36639E27248BFAC983B319C2AAF23_13</vt:lpwstr>
  </property>
  <property fmtid="{D5CDD505-2E9C-101B-9397-08002B2CF9AE}" pid="4" name="KSOTemplateDocerSaveRecord">
    <vt:lpwstr>eyJoZGlkIjoiZjg3ZDAwYjE5NTIxYmU5MjRlZTBiYTVkNWVlMTI4MWMiLCJ1c2VySWQiOiIzNzkzNTcxNjQifQ==</vt:lpwstr>
  </property>
</Properties>
</file>